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18" w:rsidRPr="005212F0" w:rsidRDefault="00A31890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Pada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Pokok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bahasan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mengenai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Neraca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Rugi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/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Laba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ini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mahasiswa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diharapkan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untuk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mampu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menjelaskan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bahasan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sebagai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berikut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:</w:t>
      </w:r>
    </w:p>
    <w:p w:rsidR="00A31890" w:rsidRPr="005212F0" w:rsidRDefault="00A31890" w:rsidP="005212F0">
      <w:pPr>
        <w:pStyle w:val="ListParagraph"/>
        <w:numPr>
          <w:ilvl w:val="0"/>
          <w:numId w:val="12"/>
        </w:num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Bagan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Neraca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atau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Posisi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Keuangan</w:t>
      </w:r>
      <w:proofErr w:type="spellEnd"/>
    </w:p>
    <w:p w:rsidR="00A31890" w:rsidRPr="005212F0" w:rsidRDefault="00A31890" w:rsidP="005212F0">
      <w:pPr>
        <w:pStyle w:val="ListParagraph"/>
        <w:numPr>
          <w:ilvl w:val="0"/>
          <w:numId w:val="12"/>
        </w:num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di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Dalam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Neraca</w:t>
      </w:r>
      <w:proofErr w:type="spellEnd"/>
    </w:p>
    <w:p w:rsidR="00A31890" w:rsidRPr="005212F0" w:rsidRDefault="00A31890" w:rsidP="005212F0">
      <w:pPr>
        <w:pStyle w:val="ListParagraph"/>
        <w:numPr>
          <w:ilvl w:val="0"/>
          <w:numId w:val="12"/>
        </w:num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Kewajiban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r w:rsidRPr="005212F0">
        <w:rPr>
          <w:rFonts w:ascii="Arial Narrow" w:hAnsi="Arial Narrow"/>
          <w:i/>
          <w:color w:val="000000" w:themeColor="text1"/>
          <w:sz w:val="24"/>
          <w:szCs w:val="24"/>
        </w:rPr>
        <w:t>Liabilities</w:t>
      </w:r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)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Pada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Neraca</w:t>
      </w:r>
      <w:proofErr w:type="spellEnd"/>
    </w:p>
    <w:p w:rsidR="00A31890" w:rsidRPr="005212F0" w:rsidRDefault="00A31890" w:rsidP="005212F0">
      <w:pPr>
        <w:pStyle w:val="ListParagraph"/>
        <w:numPr>
          <w:ilvl w:val="0"/>
          <w:numId w:val="12"/>
        </w:num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Ekuitas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r w:rsidRPr="005212F0">
        <w:rPr>
          <w:rFonts w:ascii="Arial Narrow" w:hAnsi="Arial Narrow"/>
          <w:i/>
          <w:color w:val="000000" w:themeColor="text1"/>
          <w:sz w:val="24"/>
          <w:szCs w:val="24"/>
        </w:rPr>
        <w:t>Equity</w:t>
      </w:r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)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Pada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Neraca</w:t>
      </w:r>
      <w:proofErr w:type="spellEnd"/>
    </w:p>
    <w:p w:rsidR="00A31890" w:rsidRPr="005212F0" w:rsidRDefault="00A31890" w:rsidP="005212F0">
      <w:pPr>
        <w:pStyle w:val="ListParagraph"/>
        <w:numPr>
          <w:ilvl w:val="0"/>
          <w:numId w:val="12"/>
        </w:num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Bagan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Rugi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/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Laba</w:t>
      </w:r>
      <w:proofErr w:type="spellEnd"/>
    </w:p>
    <w:p w:rsidR="00A31890" w:rsidRPr="005212F0" w:rsidRDefault="00A31890" w:rsidP="005212F0">
      <w:pPr>
        <w:pStyle w:val="ListParagraph"/>
        <w:numPr>
          <w:ilvl w:val="0"/>
          <w:numId w:val="12"/>
        </w:num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Komponen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Pendapatan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Pada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Rugi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/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Laba</w:t>
      </w:r>
      <w:proofErr w:type="spellEnd"/>
    </w:p>
    <w:p w:rsidR="00A31890" w:rsidRPr="005212F0" w:rsidRDefault="00A31890" w:rsidP="005212F0">
      <w:pPr>
        <w:pStyle w:val="ListParagraph"/>
        <w:numPr>
          <w:ilvl w:val="0"/>
          <w:numId w:val="12"/>
        </w:num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Komponen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beban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atau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biaya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r w:rsidRPr="005212F0">
        <w:rPr>
          <w:rFonts w:ascii="Arial Narrow" w:hAnsi="Arial Narrow"/>
          <w:i/>
          <w:color w:val="000000" w:themeColor="text1"/>
          <w:sz w:val="24"/>
          <w:szCs w:val="24"/>
        </w:rPr>
        <w:t>expenses</w:t>
      </w:r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)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Pada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Rugi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/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Laba</w:t>
      </w:r>
      <w:proofErr w:type="spellEnd"/>
    </w:p>
    <w:p w:rsidR="00A31890" w:rsidRPr="005212F0" w:rsidRDefault="00A31890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C71C33" w:rsidRPr="005212F0" w:rsidRDefault="00C71C33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  <w:u w:val="single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>Keuangan</w:t>
      </w:r>
      <w:proofErr w:type="spellEnd"/>
    </w:p>
    <w:p w:rsidR="00C71C33" w:rsidRPr="005212F0" w:rsidRDefault="00C71C33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A31890" w:rsidRPr="005212F0" w:rsidRDefault="00A31890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Keuangan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812BAC" w:rsidRPr="005212F0">
        <w:rPr>
          <w:rFonts w:ascii="Arial Narrow" w:hAnsi="Arial Narrow"/>
          <w:color w:val="000000" w:themeColor="text1"/>
          <w:sz w:val="24"/>
          <w:szCs w:val="24"/>
        </w:rPr>
        <w:t>adalah</w:t>
      </w:r>
      <w:proofErr w:type="spellEnd"/>
      <w:r w:rsidR="00812BAC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metode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kuantitatif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untuk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menunjukkan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bagaimana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keadaan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/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posisi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sebuah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perusahaan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Dalam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keuangan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terkandung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informasi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dapat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membantu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perusahaan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dalam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proses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pengambilan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keputusan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memprediksi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pertumbuhan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bisnis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di masa yang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akan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datang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dan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menilai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aktivitas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pendanaan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dan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operasi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perusahaan</w:t>
      </w:r>
      <w:proofErr w:type="spellEnd"/>
      <w:r w:rsidR="00C62829" w:rsidRPr="005212F0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BC2D18" w:rsidRPr="005212F0" w:rsidRDefault="00BC2D18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DF6351" w:rsidRPr="005212F0" w:rsidRDefault="00C71C33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Adapun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jenis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keuangan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umum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digunakan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adalah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:</w:t>
      </w:r>
    </w:p>
    <w:p w:rsidR="00C71C33" w:rsidRPr="005212F0" w:rsidRDefault="00C71C33" w:rsidP="005212F0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Neraca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atau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Posisi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Keuangan</w:t>
      </w:r>
      <w:proofErr w:type="spellEnd"/>
    </w:p>
    <w:p w:rsidR="00C71C33" w:rsidRPr="005212F0" w:rsidRDefault="00C71C33" w:rsidP="005212F0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Rugi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/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Laba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komprehensif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)</w:t>
      </w:r>
    </w:p>
    <w:p w:rsidR="00C71C33" w:rsidRPr="005212F0" w:rsidRDefault="00C71C33" w:rsidP="005212F0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Arus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Kas</w:t>
      </w:r>
      <w:proofErr w:type="spellEnd"/>
    </w:p>
    <w:p w:rsidR="00C71C33" w:rsidRPr="005212F0" w:rsidRDefault="00C71C33" w:rsidP="005212F0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Perubahan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Modal</w:t>
      </w:r>
    </w:p>
    <w:p w:rsidR="00C71C33" w:rsidRPr="005212F0" w:rsidRDefault="00C71C33" w:rsidP="005212F0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Catatan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Atas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Keuangan</w:t>
      </w:r>
      <w:proofErr w:type="spellEnd"/>
    </w:p>
    <w:p w:rsidR="00C71C33" w:rsidRPr="005212F0" w:rsidRDefault="00C71C33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C71C33" w:rsidRPr="005212F0" w:rsidRDefault="0033638B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212F0">
        <w:rPr>
          <w:rFonts w:ascii="Arial Narrow" w:hAnsi="Arial Narrow"/>
          <w:color w:val="000000" w:themeColor="text1"/>
          <w:sz w:val="24"/>
          <w:szCs w:val="24"/>
        </w:rPr>
        <w:t>GAAP vs. IFRS</w:t>
      </w:r>
    </w:p>
    <w:p w:rsidR="0033638B" w:rsidRPr="005212F0" w:rsidRDefault="00894DCF" w:rsidP="005212F0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Sebelum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tahun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2006,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standar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keuangan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di Indonesia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mengadopsi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GAAP (</w:t>
      </w:r>
      <w:r w:rsidRPr="005212F0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>Generally accepted accounting principles</w:t>
      </w:r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) yang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kerangka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kerja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standar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pedoman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akuntansi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keuangan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setiap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yurisdiksi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tertentu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umumnya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dikenal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standar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akuntansi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praktek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akuntansi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standar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dimana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di Indonesia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sendiri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disebut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Standar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Akuntansi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Keuangan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(SAK).</w:t>
      </w:r>
    </w:p>
    <w:p w:rsidR="00C10FD9" w:rsidRPr="005212F0" w:rsidRDefault="00C10FD9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Setelah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2012, di Indonesia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mulai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diterapkan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standar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laporan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keuangan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berdasarkan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standar</w:t>
      </w:r>
      <w:proofErr w:type="spellEnd"/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IFRS (</w:t>
      </w:r>
      <w:r w:rsidRPr="005212F0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>International Financial Reporting Standards</w:t>
      </w:r>
      <w:r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). </w:t>
      </w:r>
      <w:proofErr w:type="spellStart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Dimana</w:t>
      </w:r>
      <w:proofErr w:type="spellEnd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terdapat</w:t>
      </w:r>
      <w:proofErr w:type="spellEnd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beberapa</w:t>
      </w:r>
      <w:proofErr w:type="spellEnd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perbedaan</w:t>
      </w:r>
      <w:proofErr w:type="spellEnd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cukup</w:t>
      </w:r>
      <w:proofErr w:type="spellEnd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mendasar</w:t>
      </w:r>
      <w:proofErr w:type="spellEnd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antara</w:t>
      </w:r>
      <w:proofErr w:type="spellEnd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pelaporan</w:t>
      </w:r>
      <w:proofErr w:type="spellEnd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menggunakan</w:t>
      </w:r>
      <w:proofErr w:type="spellEnd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SAK </w:t>
      </w:r>
      <w:proofErr w:type="spellStart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IFRS </w:t>
      </w:r>
      <w:proofErr w:type="spellStart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="001047CD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Adapun</w:t>
      </w:r>
      <w:proofErr w:type="spellEnd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perbedaan</w:t>
      </w:r>
      <w:proofErr w:type="spellEnd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prinsip</w:t>
      </w:r>
      <w:proofErr w:type="spellEnd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antara</w:t>
      </w:r>
      <w:proofErr w:type="spellEnd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keduanya</w:t>
      </w:r>
      <w:proofErr w:type="spellEnd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lengkap</w:t>
      </w:r>
      <w:proofErr w:type="spellEnd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diakses</w:t>
      </w:r>
      <w:proofErr w:type="spellEnd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melalui</w:t>
      </w:r>
      <w:proofErr w:type="spellEnd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laman</w:t>
      </w:r>
      <w:proofErr w:type="spellEnd"/>
      <w:r w:rsidR="00816F3F" w:rsidRPr="005212F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7" w:history="1">
        <w:r w:rsidR="00816F3F" w:rsidRPr="005212F0">
          <w:rPr>
            <w:rStyle w:val="Hyperlink"/>
            <w:rFonts w:ascii="Arial Narrow" w:hAnsi="Arial Narrow"/>
            <w:color w:val="000000" w:themeColor="text1"/>
            <w:sz w:val="24"/>
            <w:szCs w:val="24"/>
          </w:rPr>
          <w:t>https://dosen.perbanas.id/laporan-keuangaan-sebelum-dan-sesudah-ifrs-international-financial-reporting-standards/</w:t>
        </w:r>
      </w:hyperlink>
      <w:r w:rsidR="00816F3F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816F3F" w:rsidRPr="005212F0">
        <w:rPr>
          <w:rFonts w:ascii="Arial Narrow" w:hAnsi="Arial Narrow"/>
          <w:color w:val="000000" w:themeColor="text1"/>
          <w:sz w:val="24"/>
          <w:szCs w:val="24"/>
        </w:rPr>
        <w:t>dan</w:t>
      </w:r>
      <w:proofErr w:type="spellEnd"/>
      <w:r w:rsidR="00816F3F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hyperlink r:id="rId8" w:history="1">
        <w:r w:rsidR="00816F3F" w:rsidRPr="005212F0">
          <w:rPr>
            <w:rStyle w:val="Hyperlink"/>
            <w:rFonts w:ascii="Arial Narrow" w:hAnsi="Arial Narrow"/>
            <w:color w:val="000000" w:themeColor="text1"/>
            <w:sz w:val="24"/>
            <w:szCs w:val="24"/>
          </w:rPr>
          <w:t>https://www.jurnal.id/id/blog/perbedaan-sak-dan-ifrs/</w:t>
        </w:r>
      </w:hyperlink>
      <w:r w:rsidR="00816F3F" w:rsidRPr="005212F0">
        <w:rPr>
          <w:rFonts w:ascii="Arial Narrow" w:hAnsi="Arial Narrow"/>
          <w:color w:val="000000" w:themeColor="text1"/>
          <w:sz w:val="24"/>
          <w:szCs w:val="24"/>
        </w:rPr>
        <w:t xml:space="preserve"> .</w:t>
      </w:r>
    </w:p>
    <w:p w:rsidR="00816F3F" w:rsidRPr="005212F0" w:rsidRDefault="00816F3F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254171" w:rsidRPr="005212F0" w:rsidRDefault="00254171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254171" w:rsidRPr="005212F0" w:rsidRDefault="00254171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E514B4" w:rsidRPr="005212F0" w:rsidRDefault="003923E1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lastRenderedPageBreak/>
        <w:t>Neraca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atau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Posisi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Keuangan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3923E1" w:rsidRPr="005212F0" w:rsidRDefault="003923E1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596C9C" w:rsidRPr="005212F0" w:rsidRDefault="003923E1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Neraca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atau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Posisi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Keuangan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adalah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menyajikan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informasi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berupa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kondisi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posisi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informasi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keuangan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bisnis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Anda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tanggal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ditentukan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keuangan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neraca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Anda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mendapatkan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informasi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seputar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kewajiban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modal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perusahaan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lengkap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rinci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.</w:t>
      </w:r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formatnya</w:t>
      </w:r>
      <w:proofErr w:type="spellEnd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Aset</w:t>
      </w:r>
      <w:proofErr w:type="spellEnd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harus</w:t>
      </w:r>
      <w:proofErr w:type="spellEnd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sama</w:t>
      </w:r>
      <w:proofErr w:type="spellEnd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penjumlahan</w:t>
      </w:r>
      <w:proofErr w:type="spellEnd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kewajiban</w:t>
      </w:r>
      <w:proofErr w:type="spellEnd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modal </w:t>
      </w:r>
      <w:proofErr w:type="spellStart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9554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eku</w:t>
      </w:r>
      <w:r w:rsidR="00433CFE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itas</w:t>
      </w:r>
      <w:proofErr w:type="spellEnd"/>
      <w:r w:rsidR="00433CFE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Hal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mengambil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asumsi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bahwa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aset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dimiliki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oleh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perusahaan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berasal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dua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sumber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pendanaan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utama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yakni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berutang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kepada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pihak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lain (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kewajiban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uang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modal yang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dimiliki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oleh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perusahaan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sendiri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(modal 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sendiri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ekuitas</w:t>
      </w:r>
      <w:proofErr w:type="spellEnd"/>
      <w:r w:rsidR="00C10E5C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).</w:t>
      </w:r>
    </w:p>
    <w:p w:rsidR="00596C9C" w:rsidRPr="005212F0" w:rsidRDefault="00596C9C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</w:p>
    <w:p w:rsidR="003923E1" w:rsidRPr="005212F0" w:rsidRDefault="00936682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2.1.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berikut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format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umum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Neraca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Posisi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Keuangan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biasa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="00065D7F" w:rsidRPr="005212F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.</w:t>
      </w:r>
    </w:p>
    <w:p w:rsidR="00B9274A" w:rsidRPr="005212F0" w:rsidRDefault="00B9274A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</w:p>
    <w:p w:rsidR="00AA1A7A" w:rsidRPr="005212F0" w:rsidRDefault="00AA1A7A" w:rsidP="005212F0">
      <w:pPr>
        <w:spacing w:after="0"/>
        <w:jc w:val="center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5212F0">
        <w:rPr>
          <w:rFonts w:ascii="Arial Narrow" w:hAnsi="Arial Narrow"/>
          <w:sz w:val="24"/>
          <w:szCs w:val="24"/>
        </w:rPr>
        <w:drawing>
          <wp:inline distT="0" distB="0" distL="0" distR="0">
            <wp:extent cx="3873260" cy="41240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091" cy="413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D7F" w:rsidRPr="000F73DA" w:rsidRDefault="00B9274A" w:rsidP="005212F0">
      <w:pPr>
        <w:spacing w:after="0"/>
        <w:jc w:val="center"/>
        <w:rPr>
          <w:rFonts w:ascii="Arial Narrow" w:hAnsi="Arial Narrow"/>
          <w:color w:val="000000" w:themeColor="text1"/>
          <w:szCs w:val="24"/>
        </w:rPr>
      </w:pPr>
      <w:proofErr w:type="spellStart"/>
      <w:r w:rsidRPr="000F73DA">
        <w:rPr>
          <w:rFonts w:ascii="Arial Narrow" w:hAnsi="Arial Narrow"/>
          <w:color w:val="000000" w:themeColor="text1"/>
          <w:szCs w:val="24"/>
        </w:rPr>
        <w:t>Gambar</w:t>
      </w:r>
      <w:proofErr w:type="spellEnd"/>
      <w:r w:rsidRPr="000F73DA">
        <w:rPr>
          <w:rFonts w:ascii="Arial Narrow" w:hAnsi="Arial Narrow"/>
          <w:color w:val="000000" w:themeColor="text1"/>
          <w:szCs w:val="24"/>
        </w:rPr>
        <w:t xml:space="preserve"> 2.1. </w:t>
      </w:r>
      <w:proofErr w:type="spellStart"/>
      <w:r w:rsidRPr="000F73DA">
        <w:rPr>
          <w:rFonts w:ascii="Arial Narrow" w:hAnsi="Arial Narrow"/>
          <w:color w:val="000000" w:themeColor="text1"/>
          <w:szCs w:val="24"/>
        </w:rPr>
        <w:t>Contoh</w:t>
      </w:r>
      <w:proofErr w:type="spellEnd"/>
      <w:r w:rsidRPr="000F73DA">
        <w:rPr>
          <w:rFonts w:ascii="Arial Narrow" w:hAnsi="Arial Narrow"/>
          <w:color w:val="000000" w:themeColor="text1"/>
          <w:szCs w:val="24"/>
        </w:rPr>
        <w:t xml:space="preserve"> </w:t>
      </w:r>
      <w:proofErr w:type="spellStart"/>
      <w:r w:rsidRPr="000F73DA">
        <w:rPr>
          <w:rFonts w:ascii="Arial Narrow" w:hAnsi="Arial Narrow"/>
          <w:color w:val="000000" w:themeColor="text1"/>
          <w:szCs w:val="24"/>
        </w:rPr>
        <w:t>Laporan</w:t>
      </w:r>
      <w:proofErr w:type="spellEnd"/>
      <w:r w:rsidRPr="000F73DA">
        <w:rPr>
          <w:rFonts w:ascii="Arial Narrow" w:hAnsi="Arial Narrow"/>
          <w:color w:val="000000" w:themeColor="text1"/>
          <w:szCs w:val="24"/>
        </w:rPr>
        <w:t xml:space="preserve"> </w:t>
      </w:r>
      <w:proofErr w:type="spellStart"/>
      <w:r w:rsidRPr="000F73DA">
        <w:rPr>
          <w:rFonts w:ascii="Arial Narrow" w:hAnsi="Arial Narrow"/>
          <w:color w:val="000000" w:themeColor="text1"/>
          <w:szCs w:val="24"/>
        </w:rPr>
        <w:t>Posisi</w:t>
      </w:r>
      <w:proofErr w:type="spellEnd"/>
      <w:r w:rsidRPr="000F73DA">
        <w:rPr>
          <w:rFonts w:ascii="Arial Narrow" w:hAnsi="Arial Narrow"/>
          <w:color w:val="000000" w:themeColor="text1"/>
          <w:szCs w:val="24"/>
        </w:rPr>
        <w:t xml:space="preserve"> </w:t>
      </w:r>
      <w:proofErr w:type="spellStart"/>
      <w:r w:rsidRPr="000F73DA">
        <w:rPr>
          <w:rFonts w:ascii="Arial Narrow" w:hAnsi="Arial Narrow"/>
          <w:color w:val="000000" w:themeColor="text1"/>
          <w:szCs w:val="24"/>
        </w:rPr>
        <w:t>Keuangan</w:t>
      </w:r>
      <w:proofErr w:type="spellEnd"/>
    </w:p>
    <w:p w:rsidR="00B9274A" w:rsidRPr="005212F0" w:rsidRDefault="00B9274A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B9274A" w:rsidRPr="005212F0" w:rsidRDefault="00B9274A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Selai</w:t>
      </w:r>
      <w:bookmarkStart w:id="0" w:name="_GoBack"/>
      <w:bookmarkEnd w:id="0"/>
      <w:r w:rsidRPr="005212F0">
        <w:rPr>
          <w:rFonts w:ascii="Arial Narrow" w:hAnsi="Arial Narrow"/>
          <w:color w:val="000000" w:themeColor="text1"/>
          <w:sz w:val="24"/>
          <w:szCs w:val="24"/>
        </w:rPr>
        <w:t>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disajikan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secara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vertikal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posisi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keuangan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juga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dapat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disajikan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secara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horizontal,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seperti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ditunjukkan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pada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gambar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2.2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berikut</w:t>
      </w:r>
      <w:proofErr w:type="spellEnd"/>
      <w:r w:rsidR="00254171" w:rsidRPr="005212F0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78708F" w:rsidRPr="005212F0" w:rsidRDefault="0078708F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78708F" w:rsidRPr="005212F0" w:rsidRDefault="00ED43E7" w:rsidP="005212F0">
      <w:pPr>
        <w:spacing w:after="0"/>
        <w:jc w:val="center"/>
        <w:rPr>
          <w:rFonts w:ascii="Arial Narrow" w:hAnsi="Arial Narrow"/>
          <w:color w:val="000000" w:themeColor="text1"/>
          <w:sz w:val="24"/>
          <w:szCs w:val="24"/>
        </w:rPr>
      </w:pPr>
      <w:r w:rsidRPr="005212F0">
        <w:rPr>
          <w:rFonts w:ascii="Arial Narrow" w:hAnsi="Arial Narrow"/>
          <w:sz w:val="24"/>
          <w:szCs w:val="24"/>
        </w:rPr>
        <w:lastRenderedPageBreak/>
        <w:drawing>
          <wp:inline distT="0" distB="0" distL="0" distR="0">
            <wp:extent cx="5943600" cy="1938364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74A" w:rsidRPr="000F73DA" w:rsidRDefault="00ED43E7" w:rsidP="005212F0">
      <w:pPr>
        <w:spacing w:after="0"/>
        <w:jc w:val="center"/>
        <w:rPr>
          <w:rFonts w:ascii="Arial Narrow" w:hAnsi="Arial Narrow"/>
          <w:color w:val="000000" w:themeColor="text1"/>
          <w:szCs w:val="24"/>
        </w:rPr>
      </w:pPr>
      <w:proofErr w:type="spellStart"/>
      <w:r w:rsidRPr="000F73DA">
        <w:rPr>
          <w:rFonts w:ascii="Arial Narrow" w:hAnsi="Arial Narrow"/>
          <w:color w:val="000000" w:themeColor="text1"/>
          <w:szCs w:val="24"/>
        </w:rPr>
        <w:t>Gambar</w:t>
      </w:r>
      <w:proofErr w:type="spellEnd"/>
      <w:r w:rsidRPr="000F73DA">
        <w:rPr>
          <w:rFonts w:ascii="Arial Narrow" w:hAnsi="Arial Narrow"/>
          <w:color w:val="000000" w:themeColor="text1"/>
          <w:szCs w:val="24"/>
        </w:rPr>
        <w:t xml:space="preserve"> 2.2. </w:t>
      </w:r>
      <w:proofErr w:type="spellStart"/>
      <w:r w:rsidRPr="000F73DA">
        <w:rPr>
          <w:rFonts w:ascii="Arial Narrow" w:hAnsi="Arial Narrow"/>
          <w:color w:val="000000" w:themeColor="text1"/>
          <w:szCs w:val="24"/>
        </w:rPr>
        <w:t>Contoh</w:t>
      </w:r>
      <w:proofErr w:type="spellEnd"/>
      <w:r w:rsidRPr="000F73DA">
        <w:rPr>
          <w:rFonts w:ascii="Arial Narrow" w:hAnsi="Arial Narrow"/>
          <w:color w:val="000000" w:themeColor="text1"/>
          <w:szCs w:val="24"/>
        </w:rPr>
        <w:t xml:space="preserve"> </w:t>
      </w:r>
      <w:proofErr w:type="spellStart"/>
      <w:r w:rsidRPr="000F73DA">
        <w:rPr>
          <w:rFonts w:ascii="Arial Narrow" w:hAnsi="Arial Narrow"/>
          <w:color w:val="000000" w:themeColor="text1"/>
          <w:szCs w:val="24"/>
        </w:rPr>
        <w:t>Laporan</w:t>
      </w:r>
      <w:proofErr w:type="spellEnd"/>
      <w:r w:rsidRPr="000F73DA">
        <w:rPr>
          <w:rFonts w:ascii="Arial Narrow" w:hAnsi="Arial Narrow"/>
          <w:color w:val="000000" w:themeColor="text1"/>
          <w:szCs w:val="24"/>
        </w:rPr>
        <w:t xml:space="preserve"> </w:t>
      </w:r>
      <w:proofErr w:type="spellStart"/>
      <w:r w:rsidRPr="000F73DA">
        <w:rPr>
          <w:rFonts w:ascii="Arial Narrow" w:hAnsi="Arial Narrow"/>
          <w:color w:val="000000" w:themeColor="text1"/>
          <w:szCs w:val="24"/>
        </w:rPr>
        <w:t>Posisi</w:t>
      </w:r>
      <w:proofErr w:type="spellEnd"/>
      <w:r w:rsidRPr="000F73DA">
        <w:rPr>
          <w:rFonts w:ascii="Arial Narrow" w:hAnsi="Arial Narrow"/>
          <w:color w:val="000000" w:themeColor="text1"/>
          <w:szCs w:val="24"/>
        </w:rPr>
        <w:t xml:space="preserve"> </w:t>
      </w:r>
      <w:proofErr w:type="spellStart"/>
      <w:r w:rsidRPr="000F73DA">
        <w:rPr>
          <w:rFonts w:ascii="Arial Narrow" w:hAnsi="Arial Narrow"/>
          <w:color w:val="000000" w:themeColor="text1"/>
          <w:szCs w:val="24"/>
        </w:rPr>
        <w:t>Keuangan</w:t>
      </w:r>
      <w:proofErr w:type="spellEnd"/>
      <w:r w:rsidRPr="000F73DA">
        <w:rPr>
          <w:rFonts w:ascii="Arial Narrow" w:hAnsi="Arial Narrow"/>
          <w:color w:val="000000" w:themeColor="text1"/>
          <w:szCs w:val="24"/>
        </w:rPr>
        <w:t xml:space="preserve"> (horizontal)</w:t>
      </w:r>
    </w:p>
    <w:p w:rsidR="00ED43E7" w:rsidRPr="005212F0" w:rsidRDefault="00ED43E7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ED43E7" w:rsidRPr="005212F0" w:rsidRDefault="00ED43E7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  <w:u w:val="single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>dalam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>Posisi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>Keuangan</w:t>
      </w:r>
      <w:proofErr w:type="spellEnd"/>
    </w:p>
    <w:p w:rsidR="00276E49" w:rsidRPr="005212F0" w:rsidRDefault="00276E49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276E49" w:rsidRPr="005212F0" w:rsidRDefault="004D1532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dalam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akuntansi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adalah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barang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atau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kompetensi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dimiliki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suatu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organisasi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usaha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memiliki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nilai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ekonomis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nilai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komersial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juga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nilai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tukar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juga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dikatakan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sebagai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kekayaan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diperoleh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dari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suatu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rangkaian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peristiwa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di masa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lalu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dapat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dimanfaatkan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di masa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datang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CC4212" w:rsidRPr="005212F0" w:rsidRDefault="00CC4212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CC4212" w:rsidRPr="005212F0" w:rsidRDefault="00CC4212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Jenis-jenis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:</w:t>
      </w:r>
    </w:p>
    <w:p w:rsidR="00CC4212" w:rsidRPr="005212F0" w:rsidRDefault="00CC4212" w:rsidP="005212F0">
      <w:pPr>
        <w:pStyle w:val="ListParagraph"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Lancar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r w:rsidRPr="005212F0">
        <w:rPr>
          <w:rFonts w:ascii="Arial Narrow" w:hAnsi="Arial Narrow"/>
          <w:i/>
          <w:color w:val="000000" w:themeColor="text1"/>
          <w:sz w:val="24"/>
          <w:szCs w:val="24"/>
        </w:rPr>
        <w:t>Current Assets</w:t>
      </w:r>
      <w:r w:rsidRPr="005212F0">
        <w:rPr>
          <w:rFonts w:ascii="Arial Narrow" w:hAnsi="Arial Narrow"/>
          <w:color w:val="000000" w:themeColor="text1"/>
          <w:sz w:val="24"/>
          <w:szCs w:val="24"/>
        </w:rPr>
        <w:t>)</w:t>
      </w:r>
    </w:p>
    <w:p w:rsidR="00C95D0F" w:rsidRPr="005212F0" w:rsidRDefault="00360A89" w:rsidP="005212F0">
      <w:pPr>
        <w:pStyle w:val="ListParagraph"/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ini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adalah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dapat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dimanfaatkan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dalam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jangka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pendek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biasanya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kurang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dari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1 (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satu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)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tahun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Atau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dengan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kata lain,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lancar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juga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dapat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dikatakan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cenderung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mudah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untuk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diubah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77521D" w:rsidRPr="005212F0">
        <w:rPr>
          <w:rFonts w:ascii="Arial Narrow" w:hAnsi="Arial Narrow"/>
          <w:color w:val="000000" w:themeColor="text1"/>
          <w:sz w:val="24"/>
          <w:szCs w:val="24"/>
        </w:rPr>
        <w:t>dari</w:t>
      </w:r>
      <w:proofErr w:type="spellEnd"/>
      <w:r w:rsidR="0077521D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77521D" w:rsidRPr="005212F0">
        <w:rPr>
          <w:rFonts w:ascii="Arial Narrow" w:hAnsi="Arial Narrow"/>
          <w:color w:val="000000" w:themeColor="text1"/>
          <w:sz w:val="24"/>
          <w:szCs w:val="24"/>
        </w:rPr>
        <w:t>satu</w:t>
      </w:r>
      <w:proofErr w:type="spellEnd"/>
      <w:r w:rsidR="0077521D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77521D" w:rsidRPr="005212F0">
        <w:rPr>
          <w:rFonts w:ascii="Arial Narrow" w:hAnsi="Arial Narrow"/>
          <w:color w:val="000000" w:themeColor="text1"/>
          <w:sz w:val="24"/>
          <w:szCs w:val="24"/>
        </w:rPr>
        <w:t>bentuk</w:t>
      </w:r>
      <w:proofErr w:type="spellEnd"/>
      <w:r w:rsidR="0077521D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77521D"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="0077521D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77521D" w:rsidRPr="005212F0">
        <w:rPr>
          <w:rFonts w:ascii="Arial Narrow" w:hAnsi="Arial Narrow"/>
          <w:color w:val="000000" w:themeColor="text1"/>
          <w:sz w:val="24"/>
          <w:szCs w:val="24"/>
        </w:rPr>
        <w:t>ke</w:t>
      </w:r>
      <w:proofErr w:type="spellEnd"/>
      <w:r w:rsidR="0077521D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dalam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bentuk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lainnya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CC4212" w:rsidRPr="005212F0" w:rsidRDefault="00CC4212" w:rsidP="005212F0">
      <w:pPr>
        <w:pStyle w:val="ListParagraph"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Tetap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r w:rsidRPr="005212F0">
        <w:rPr>
          <w:rFonts w:ascii="Arial Narrow" w:hAnsi="Arial Narrow"/>
          <w:i/>
          <w:color w:val="000000" w:themeColor="text1"/>
          <w:sz w:val="24"/>
          <w:szCs w:val="24"/>
        </w:rPr>
        <w:t>Fixed Assets</w:t>
      </w:r>
      <w:r w:rsidRPr="005212F0">
        <w:rPr>
          <w:rFonts w:ascii="Arial Narrow" w:hAnsi="Arial Narrow"/>
          <w:color w:val="000000" w:themeColor="text1"/>
          <w:sz w:val="24"/>
          <w:szCs w:val="24"/>
        </w:rPr>
        <w:t>)</w:t>
      </w:r>
    </w:p>
    <w:p w:rsidR="00360A89" w:rsidRPr="005212F0" w:rsidRDefault="00827321" w:rsidP="005212F0">
      <w:pPr>
        <w:pStyle w:val="ListParagraph"/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ini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adalah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dapat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dimanfaatkan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dalam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jangka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panjang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memiliki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umur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ekonomis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atau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manfaat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ekonomis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ini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juga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dapat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dikatakan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sebagai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cenderung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sulit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untuk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diubah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dari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suatu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bentuk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jenis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kedalam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bentuk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lainnya</w:t>
      </w:r>
      <w:proofErr w:type="spellEnd"/>
    </w:p>
    <w:p w:rsidR="00360A89" w:rsidRPr="005212F0" w:rsidRDefault="00360A89" w:rsidP="005212F0">
      <w:pPr>
        <w:pStyle w:val="ListParagraph"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Tidak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Berwujud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r w:rsidRPr="005212F0">
        <w:rPr>
          <w:rFonts w:ascii="Arial Narrow" w:hAnsi="Arial Narrow"/>
          <w:i/>
          <w:color w:val="000000" w:themeColor="text1"/>
          <w:sz w:val="24"/>
          <w:szCs w:val="24"/>
        </w:rPr>
        <w:t>Intangible Assets</w:t>
      </w:r>
      <w:r w:rsidRPr="005212F0">
        <w:rPr>
          <w:rFonts w:ascii="Arial Narrow" w:hAnsi="Arial Narrow"/>
          <w:color w:val="000000" w:themeColor="text1"/>
          <w:sz w:val="24"/>
          <w:szCs w:val="24"/>
        </w:rPr>
        <w:t>)</w:t>
      </w:r>
    </w:p>
    <w:p w:rsidR="00827321" w:rsidRPr="005212F0" w:rsidRDefault="002A0FED" w:rsidP="005212F0">
      <w:pPr>
        <w:pStyle w:val="ListParagraph"/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ini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merupakan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tidak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terlihat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tidak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dapat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diraba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tetapi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dapat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memberikan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manfaat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ekonomis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dimasa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datang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proofErr w:type="spellStart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>ini</w:t>
      </w:r>
      <w:proofErr w:type="spellEnd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>dapat</w:t>
      </w:r>
      <w:proofErr w:type="spellEnd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>berupa</w:t>
      </w:r>
      <w:proofErr w:type="spellEnd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>citra</w:t>
      </w:r>
      <w:proofErr w:type="spellEnd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>perusahaan</w:t>
      </w:r>
      <w:proofErr w:type="spellEnd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 xml:space="preserve"> di </w:t>
      </w:r>
      <w:proofErr w:type="spellStart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>mata</w:t>
      </w:r>
      <w:proofErr w:type="spellEnd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 xml:space="preserve"> para </w:t>
      </w:r>
      <w:r w:rsidR="00C56690" w:rsidRPr="005212F0">
        <w:rPr>
          <w:rFonts w:ascii="Arial Narrow" w:hAnsi="Arial Narrow"/>
          <w:i/>
          <w:color w:val="000000" w:themeColor="text1"/>
          <w:sz w:val="24"/>
          <w:szCs w:val="24"/>
        </w:rPr>
        <w:t>stakeholders</w:t>
      </w:r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proofErr w:type="spellStart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>nama</w:t>
      </w:r>
      <w:proofErr w:type="spellEnd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>baik</w:t>
      </w:r>
      <w:proofErr w:type="spellEnd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>/</w:t>
      </w:r>
      <w:r w:rsidR="00C56690" w:rsidRPr="005212F0">
        <w:rPr>
          <w:rFonts w:ascii="Arial Narrow" w:hAnsi="Arial Narrow"/>
          <w:i/>
          <w:color w:val="000000" w:themeColor="text1"/>
          <w:sz w:val="24"/>
          <w:szCs w:val="24"/>
        </w:rPr>
        <w:t>goodwill</w:t>
      </w:r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 xml:space="preserve">) </w:t>
      </w:r>
      <w:proofErr w:type="spellStart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>atau</w:t>
      </w:r>
      <w:proofErr w:type="spellEnd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>hak-hak</w:t>
      </w:r>
      <w:proofErr w:type="spellEnd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>tertentu</w:t>
      </w:r>
      <w:proofErr w:type="spellEnd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>dimiliki</w:t>
      </w:r>
      <w:proofErr w:type="spellEnd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>perusahaan</w:t>
      </w:r>
      <w:proofErr w:type="spellEnd"/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r w:rsidR="00C56690" w:rsidRPr="005212F0">
        <w:rPr>
          <w:rFonts w:ascii="Arial Narrow" w:hAnsi="Arial Narrow"/>
          <w:i/>
          <w:color w:val="000000" w:themeColor="text1"/>
          <w:sz w:val="24"/>
          <w:szCs w:val="24"/>
        </w:rPr>
        <w:t>privilege</w:t>
      </w:r>
      <w:r w:rsidR="00C56690" w:rsidRPr="005212F0">
        <w:rPr>
          <w:rFonts w:ascii="Arial Narrow" w:hAnsi="Arial Narrow"/>
          <w:color w:val="000000" w:themeColor="text1"/>
          <w:sz w:val="24"/>
          <w:szCs w:val="24"/>
        </w:rPr>
        <w:t>).</w:t>
      </w:r>
    </w:p>
    <w:p w:rsidR="0097655E" w:rsidRPr="005212F0" w:rsidRDefault="0097655E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97655E" w:rsidRPr="005212F0" w:rsidRDefault="0097655E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  <w:u w:val="single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>Kewajiban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 xml:space="preserve"> (</w:t>
      </w:r>
      <w:r w:rsidRPr="005212F0">
        <w:rPr>
          <w:rFonts w:ascii="Arial Narrow" w:hAnsi="Arial Narrow"/>
          <w:i/>
          <w:color w:val="000000" w:themeColor="text1"/>
          <w:sz w:val="24"/>
          <w:szCs w:val="24"/>
          <w:u w:val="single"/>
        </w:rPr>
        <w:t>Liabilities</w:t>
      </w:r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 xml:space="preserve">)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>dalam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>Posisi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>Keuangan</w:t>
      </w:r>
      <w:proofErr w:type="spellEnd"/>
    </w:p>
    <w:p w:rsidR="005B26BA" w:rsidRPr="005212F0" w:rsidRDefault="005B26BA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5B26BA" w:rsidRPr="005212F0" w:rsidRDefault="003E69C8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Kewajiban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secara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umum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merupakan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utang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harus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dibayar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oleh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entittas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usaha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di masa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datang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Utang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ini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dapat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berupa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utang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dalam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jangka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pendek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maupun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dalam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jangka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panjang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Utang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jangka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pendek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disebut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juga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sebagai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utang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lancar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r w:rsidRPr="005212F0">
        <w:rPr>
          <w:rFonts w:ascii="Arial Narrow" w:hAnsi="Arial Narrow"/>
          <w:i/>
          <w:color w:val="000000" w:themeColor="text1"/>
          <w:sz w:val="24"/>
          <w:szCs w:val="24"/>
        </w:rPr>
        <w:t>Current Liabilities</w:t>
      </w:r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),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sedangkan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utang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dalam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jangka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panjang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disebut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sebagai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utang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jangka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panjang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r w:rsidRPr="005212F0">
        <w:rPr>
          <w:rFonts w:ascii="Arial Narrow" w:hAnsi="Arial Narrow"/>
          <w:i/>
          <w:color w:val="000000" w:themeColor="text1"/>
          <w:sz w:val="24"/>
          <w:szCs w:val="24"/>
        </w:rPr>
        <w:t>Long-term Liabilities</w:t>
      </w:r>
      <w:r w:rsidRPr="005212F0">
        <w:rPr>
          <w:rFonts w:ascii="Arial Narrow" w:hAnsi="Arial Narrow"/>
          <w:color w:val="000000" w:themeColor="text1"/>
          <w:sz w:val="24"/>
          <w:szCs w:val="24"/>
        </w:rPr>
        <w:t>).</w:t>
      </w:r>
    </w:p>
    <w:p w:rsidR="00211F13" w:rsidRPr="005212F0" w:rsidRDefault="00211F13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lastRenderedPageBreak/>
        <w:t>Dalam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pencatatannya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perusahaan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memiliki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utang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baik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itu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dalam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jangka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pendek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dana tau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jangka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panjang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maka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timbul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beban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atau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biaya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diatasnya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yakni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biaya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bunga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Biaya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bunga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ini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tidak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diklasifikasikan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sebagai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biaya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operasional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usaha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karena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biaya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bunga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ini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adalah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biaya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timbul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akibat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mengambil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sumber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pendanaan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usaha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dari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pihak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ketiga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B00BC3" w:rsidRPr="005212F0" w:rsidRDefault="00B00BC3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B00BC3" w:rsidRPr="005212F0" w:rsidRDefault="00B00BC3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  <w:u w:val="single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>Ekuitas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>atau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 xml:space="preserve"> Modal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>Sendiri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  <w:u w:val="single"/>
        </w:rPr>
        <w:t xml:space="preserve"> (Equity)</w:t>
      </w:r>
    </w:p>
    <w:p w:rsidR="00B00BC3" w:rsidRPr="005212F0" w:rsidRDefault="00B00BC3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B00BC3" w:rsidRPr="005212F0" w:rsidRDefault="00B00BC3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Ekuitas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ini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secara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persamaan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akuntansi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merupakan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selisih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antara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Nilai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Aset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nilai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Kewajiban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Ekuitas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ini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biasanya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terdiri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dari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jumlah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modal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disetor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ditambah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laba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ditahan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bila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perusahaan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dalam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suatu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periode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akuntansi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memperoleh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laba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usaha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:rsidR="00B00BC3" w:rsidRPr="005212F0" w:rsidRDefault="00B00BC3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Sebaliknya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bila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perusahaan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mengalami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kerugian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usaha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maka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modal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disetor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ini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dikurangi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dengan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jumlah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kerugian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dialami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perusahaan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pada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periode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akuntansi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tertentu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331915" w:rsidRPr="005212F0" w:rsidRDefault="00331915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331915" w:rsidRPr="005212F0" w:rsidRDefault="00331915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Rugi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/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Laba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Komprehensif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)</w:t>
      </w:r>
    </w:p>
    <w:p w:rsidR="00B04491" w:rsidRPr="005212F0" w:rsidRDefault="00B04491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B04491" w:rsidRPr="005212F0" w:rsidRDefault="006A087C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ini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menyajikan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informasi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menunjukkan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kinerja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perusahaan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dalam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suatu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periode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akuntansi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tertentu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Struktur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rugi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/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laba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diterapkan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perusahaan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bisa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bermacam-macam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tergantung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dari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jenis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usahanya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karakteristik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perusahaannya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Namun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secara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garis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besar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komposisi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atau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format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umum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rugi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/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laba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ini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terdiri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dari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komponen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Pendapatan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atau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penjualan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),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beban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atau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biaya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laba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atau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rugi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:rsidR="00C4329A" w:rsidRPr="005212F0" w:rsidRDefault="00C4329A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Penghitungan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laba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atau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rugi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itu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sendiri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terdapat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beberapa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tahap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lagi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yaitu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laba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kotor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r w:rsidRPr="005212F0">
        <w:rPr>
          <w:rFonts w:ascii="Arial Narrow" w:hAnsi="Arial Narrow"/>
          <w:i/>
          <w:color w:val="000000" w:themeColor="text1"/>
          <w:sz w:val="24"/>
          <w:szCs w:val="24"/>
        </w:rPr>
        <w:t>gross profit</w:t>
      </w:r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),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laba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operasi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laba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sebelum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pajak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0D2E09" w:rsidRPr="005212F0" w:rsidRDefault="000D2E09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Terdapat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dua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>metode</w:t>
      </w:r>
      <w:proofErr w:type="spellEnd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>dapat</w:t>
      </w:r>
      <w:proofErr w:type="spellEnd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>digunakan</w:t>
      </w:r>
      <w:proofErr w:type="spellEnd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>dalam</w:t>
      </w:r>
      <w:proofErr w:type="spellEnd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>menyusun</w:t>
      </w:r>
      <w:proofErr w:type="spellEnd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>rugi</w:t>
      </w:r>
      <w:proofErr w:type="spellEnd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>/</w:t>
      </w:r>
      <w:proofErr w:type="spellStart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>laba</w:t>
      </w:r>
      <w:proofErr w:type="spellEnd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>ini</w:t>
      </w:r>
      <w:proofErr w:type="spellEnd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>yaitu</w:t>
      </w:r>
      <w:proofErr w:type="spellEnd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>metode</w:t>
      </w:r>
      <w:proofErr w:type="spellEnd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466E45" w:rsidRPr="005212F0">
        <w:rPr>
          <w:rFonts w:ascii="Arial Narrow" w:hAnsi="Arial Narrow"/>
          <w:i/>
          <w:color w:val="000000" w:themeColor="text1"/>
          <w:sz w:val="24"/>
          <w:szCs w:val="24"/>
        </w:rPr>
        <w:t xml:space="preserve">single step </w:t>
      </w:r>
      <w:proofErr w:type="spellStart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>dan</w:t>
      </w:r>
      <w:proofErr w:type="spellEnd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>metode</w:t>
      </w:r>
      <w:proofErr w:type="spellEnd"/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466E45" w:rsidRPr="005212F0">
        <w:rPr>
          <w:rFonts w:ascii="Arial Narrow" w:hAnsi="Arial Narrow"/>
          <w:i/>
          <w:color w:val="000000" w:themeColor="text1"/>
          <w:sz w:val="24"/>
          <w:szCs w:val="24"/>
        </w:rPr>
        <w:t>multiple step</w:t>
      </w:r>
      <w:r w:rsidR="00466E45" w:rsidRPr="005212F0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Metode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514C86" w:rsidRPr="005212F0">
        <w:rPr>
          <w:rFonts w:ascii="Arial Narrow" w:hAnsi="Arial Narrow"/>
          <w:i/>
          <w:color w:val="000000" w:themeColor="text1"/>
          <w:sz w:val="24"/>
          <w:szCs w:val="24"/>
        </w:rPr>
        <w:t xml:space="preserve">single step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menggabungkan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pendapatan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dan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beban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tanpa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memisahkan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antara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pendapatan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dan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beban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berasal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dari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usaha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operasional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)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perusahaan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dengan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pendapatan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dan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beban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</w:t>
      </w:r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bukan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berasal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dari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usaha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operasional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 xml:space="preserve">) </w:t>
      </w:r>
      <w:proofErr w:type="spellStart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perusahaan</w:t>
      </w:r>
      <w:proofErr w:type="spellEnd"/>
      <w:r w:rsidR="00514C86" w:rsidRPr="005212F0">
        <w:rPr>
          <w:rFonts w:ascii="Arial Narrow" w:hAnsi="Arial Narrow"/>
          <w:color w:val="000000" w:themeColor="text1"/>
          <w:sz w:val="24"/>
          <w:szCs w:val="24"/>
        </w:rPr>
        <w:t>.</w:t>
      </w:r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Sedangkan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pada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metode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4F2A98" w:rsidRPr="005212F0">
        <w:rPr>
          <w:rFonts w:ascii="Arial Narrow" w:hAnsi="Arial Narrow"/>
          <w:i/>
          <w:color w:val="000000" w:themeColor="text1"/>
          <w:sz w:val="24"/>
          <w:szCs w:val="24"/>
        </w:rPr>
        <w:t>multiple step</w:t>
      </w:r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pendapatan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dan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beban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dipisahkan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antara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pendapatan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dan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beban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berasal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dari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usaha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operasional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)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perusahaan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dengan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pendapatan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dan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beban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yang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bukan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berasal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dari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usaha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operasional</w:t>
      </w:r>
      <w:proofErr w:type="spellEnd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 xml:space="preserve">) </w:t>
      </w:r>
      <w:proofErr w:type="spellStart"/>
      <w:r w:rsidR="004F2A98" w:rsidRPr="005212F0">
        <w:rPr>
          <w:rFonts w:ascii="Arial Narrow" w:hAnsi="Arial Narrow"/>
          <w:color w:val="000000" w:themeColor="text1"/>
          <w:sz w:val="24"/>
          <w:szCs w:val="24"/>
        </w:rPr>
        <w:t>perusahaan</w:t>
      </w:r>
      <w:proofErr w:type="spellEnd"/>
      <w:r w:rsidR="00E71796" w:rsidRPr="005212F0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E71796" w:rsidRPr="005212F0" w:rsidRDefault="00E71796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Pada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gambar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2.3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berikut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diperlihatkan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contoh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format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rugi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/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laba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dari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dua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metode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tersebut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315386" w:rsidRPr="005212F0" w:rsidRDefault="00315386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315386" w:rsidRPr="005212F0" w:rsidRDefault="00315386" w:rsidP="005212F0">
      <w:pPr>
        <w:spacing w:after="0"/>
        <w:jc w:val="center"/>
        <w:rPr>
          <w:rFonts w:ascii="Arial Narrow" w:hAnsi="Arial Narrow"/>
          <w:color w:val="000000" w:themeColor="text1"/>
          <w:sz w:val="24"/>
          <w:szCs w:val="24"/>
        </w:rPr>
      </w:pPr>
      <w:r w:rsidRPr="005212F0">
        <w:rPr>
          <w:rFonts w:ascii="Arial Narrow" w:hAnsi="Arial Narrow"/>
          <w:sz w:val="24"/>
          <w:szCs w:val="24"/>
        </w:rPr>
        <w:lastRenderedPageBreak/>
        <w:drawing>
          <wp:inline distT="0" distB="0" distL="0" distR="0">
            <wp:extent cx="5943600" cy="34935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386" w:rsidRPr="005212F0" w:rsidRDefault="00315386" w:rsidP="005212F0">
      <w:pPr>
        <w:spacing w:after="0"/>
        <w:jc w:val="center"/>
        <w:rPr>
          <w:rFonts w:ascii="Arial Narrow" w:hAnsi="Arial Narrow"/>
          <w:color w:val="000000" w:themeColor="text1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Cs w:val="24"/>
        </w:rPr>
        <w:t>Gambar</w:t>
      </w:r>
      <w:proofErr w:type="spellEnd"/>
      <w:r w:rsidRPr="005212F0">
        <w:rPr>
          <w:rFonts w:ascii="Arial Narrow" w:hAnsi="Arial Narrow"/>
          <w:color w:val="000000" w:themeColor="text1"/>
          <w:szCs w:val="24"/>
        </w:rPr>
        <w:t xml:space="preserve"> 2.3. </w:t>
      </w:r>
      <w:proofErr w:type="spellStart"/>
      <w:r w:rsidRPr="005212F0">
        <w:rPr>
          <w:rFonts w:ascii="Arial Narrow" w:hAnsi="Arial Narrow"/>
          <w:color w:val="000000" w:themeColor="text1"/>
          <w:szCs w:val="24"/>
        </w:rPr>
        <w:t>Contoh</w:t>
      </w:r>
      <w:proofErr w:type="spellEnd"/>
      <w:r w:rsidRPr="005212F0">
        <w:rPr>
          <w:rFonts w:ascii="Arial Narrow" w:hAnsi="Arial Narrow"/>
          <w:color w:val="000000" w:themeColor="text1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Cs w:val="24"/>
        </w:rPr>
        <w:t xml:space="preserve"> </w:t>
      </w:r>
      <w:proofErr w:type="spellStart"/>
      <w:proofErr w:type="gramStart"/>
      <w:r w:rsidRPr="005212F0">
        <w:rPr>
          <w:rFonts w:ascii="Arial Narrow" w:hAnsi="Arial Narrow"/>
          <w:color w:val="000000" w:themeColor="text1"/>
          <w:szCs w:val="24"/>
        </w:rPr>
        <w:t>Rugi</w:t>
      </w:r>
      <w:proofErr w:type="spellEnd"/>
      <w:r w:rsidRPr="005212F0">
        <w:rPr>
          <w:rFonts w:ascii="Arial Narrow" w:hAnsi="Arial Narrow"/>
          <w:color w:val="000000" w:themeColor="text1"/>
          <w:szCs w:val="24"/>
        </w:rPr>
        <w:t xml:space="preserve">  </w:t>
      </w:r>
      <w:proofErr w:type="spellStart"/>
      <w:r w:rsidRPr="005212F0">
        <w:rPr>
          <w:rFonts w:ascii="Arial Narrow" w:hAnsi="Arial Narrow"/>
          <w:color w:val="000000" w:themeColor="text1"/>
          <w:szCs w:val="24"/>
        </w:rPr>
        <w:t>Laba</w:t>
      </w:r>
      <w:proofErr w:type="spellEnd"/>
      <w:proofErr w:type="gramEnd"/>
    </w:p>
    <w:p w:rsidR="00315386" w:rsidRPr="005212F0" w:rsidRDefault="00315386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315386" w:rsidRPr="005212F0" w:rsidRDefault="003A7AF7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Elemen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Dalam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Laporan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Rugi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Laba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Komprehensif</w:t>
      </w:r>
      <w:proofErr w:type="spellEnd"/>
      <w:r w:rsidRPr="005212F0">
        <w:rPr>
          <w:rFonts w:ascii="Arial Narrow" w:hAnsi="Arial Narrow"/>
          <w:color w:val="000000" w:themeColor="text1"/>
          <w:sz w:val="24"/>
          <w:szCs w:val="24"/>
        </w:rPr>
        <w:t>)</w:t>
      </w:r>
    </w:p>
    <w:p w:rsidR="003A7AF7" w:rsidRPr="005212F0" w:rsidRDefault="005212F0" w:rsidP="005212F0">
      <w:pPr>
        <w:pStyle w:val="ListParagraph"/>
        <w:numPr>
          <w:ilvl w:val="0"/>
          <w:numId w:val="15"/>
        </w:num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Pendapatan</w:t>
      </w:r>
      <w:proofErr w:type="spellEnd"/>
    </w:p>
    <w:p w:rsidR="005212F0" w:rsidRPr="005212F0" w:rsidRDefault="005212F0" w:rsidP="005212F0">
      <w:pPr>
        <w:pStyle w:val="ListParagraph"/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Pendapatan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atau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dikenal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 </w:t>
      </w:r>
      <w:r w:rsidRPr="005212F0">
        <w:rPr>
          <w:rFonts w:ascii="Arial Narrow" w:hAnsi="Arial Narrow"/>
          <w:i/>
          <w:iCs/>
          <w:color w:val="222222"/>
          <w:sz w:val="24"/>
          <w:szCs w:val="24"/>
          <w:shd w:val="clear" w:color="auto" w:fill="FFFFFF"/>
        </w:rPr>
        <w:t>revenues 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adalah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arus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masuk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atau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peningkatan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aktiva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lainnya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suatu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perusahaan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selama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periode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tertentu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karena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pengiriman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atau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produksi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barang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dan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menyelesaikan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jasa</w:t>
      </w:r>
      <w:proofErr w:type="spellEnd"/>
      <w:r w:rsidRPr="005212F0">
        <w:rPr>
          <w:rFonts w:ascii="Arial Narrow" w:hAnsi="Arial Narrow"/>
          <w:color w:val="222222"/>
          <w:sz w:val="24"/>
          <w:szCs w:val="24"/>
          <w:shd w:val="clear" w:color="auto" w:fill="FFFFFF"/>
        </w:rPr>
        <w:t>.</w:t>
      </w:r>
    </w:p>
    <w:p w:rsidR="005212F0" w:rsidRPr="005212F0" w:rsidRDefault="005212F0" w:rsidP="005212F0">
      <w:pPr>
        <w:pStyle w:val="ListParagraph"/>
        <w:numPr>
          <w:ilvl w:val="0"/>
          <w:numId w:val="15"/>
        </w:num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212F0">
        <w:rPr>
          <w:rFonts w:ascii="Arial Narrow" w:hAnsi="Arial Narrow"/>
          <w:color w:val="000000" w:themeColor="text1"/>
          <w:sz w:val="24"/>
          <w:szCs w:val="24"/>
        </w:rPr>
        <w:t>Beban</w:t>
      </w:r>
    </w:p>
    <w:p w:rsidR="005212F0" w:rsidRPr="005212F0" w:rsidRDefault="005212F0" w:rsidP="005212F0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 Narrow" w:hAnsi="Arial Narrow"/>
          <w:color w:val="000000" w:themeColor="text1"/>
        </w:rPr>
      </w:pPr>
      <w:proofErr w:type="spellStart"/>
      <w:r w:rsidRPr="005212F0">
        <w:rPr>
          <w:rFonts w:ascii="Arial Narrow" w:hAnsi="Arial Narrow"/>
          <w:color w:val="222222"/>
        </w:rPr>
        <w:t>Arus</w:t>
      </w:r>
      <w:proofErr w:type="spellEnd"/>
      <w:r w:rsidRPr="005212F0">
        <w:rPr>
          <w:rFonts w:ascii="Arial Narrow" w:hAnsi="Arial Narrow"/>
          <w:color w:val="222222"/>
        </w:rPr>
        <w:t xml:space="preserve"> </w:t>
      </w:r>
      <w:proofErr w:type="spellStart"/>
      <w:r w:rsidRPr="005212F0">
        <w:rPr>
          <w:rFonts w:ascii="Arial Narrow" w:hAnsi="Arial Narrow"/>
          <w:color w:val="222222"/>
        </w:rPr>
        <w:t>keluar</w:t>
      </w:r>
      <w:proofErr w:type="spellEnd"/>
      <w:r w:rsidRPr="005212F0">
        <w:rPr>
          <w:rFonts w:ascii="Arial Narrow" w:hAnsi="Arial Narrow"/>
          <w:color w:val="222222"/>
        </w:rPr>
        <w:t xml:space="preserve"> </w:t>
      </w:r>
      <w:proofErr w:type="spellStart"/>
      <w:r w:rsidRPr="005212F0">
        <w:rPr>
          <w:rFonts w:ascii="Arial Narrow" w:hAnsi="Arial Narrow"/>
          <w:color w:val="222222"/>
        </w:rPr>
        <w:t>atau</w:t>
      </w:r>
      <w:proofErr w:type="spellEnd"/>
      <w:r w:rsidRPr="005212F0">
        <w:rPr>
          <w:rFonts w:ascii="Arial Narrow" w:hAnsi="Arial Narrow"/>
          <w:color w:val="222222"/>
        </w:rPr>
        <w:t xml:space="preserve"> </w:t>
      </w:r>
      <w:proofErr w:type="spellStart"/>
      <w:r w:rsidRPr="005212F0">
        <w:rPr>
          <w:rFonts w:ascii="Arial Narrow" w:hAnsi="Arial Narrow"/>
          <w:color w:val="222222"/>
        </w:rPr>
        <w:t>penggunaan</w:t>
      </w:r>
      <w:proofErr w:type="spellEnd"/>
      <w:r w:rsidRPr="005212F0">
        <w:rPr>
          <w:rFonts w:ascii="Arial Narrow" w:hAnsi="Arial Narrow"/>
          <w:color w:val="222222"/>
        </w:rPr>
        <w:t xml:space="preserve"> </w:t>
      </w:r>
      <w:proofErr w:type="spellStart"/>
      <w:r w:rsidRPr="005212F0">
        <w:rPr>
          <w:rFonts w:ascii="Arial Narrow" w:hAnsi="Arial Narrow"/>
          <w:color w:val="222222"/>
        </w:rPr>
        <w:t>aktiva</w:t>
      </w:r>
      <w:proofErr w:type="spellEnd"/>
      <w:r w:rsidRPr="005212F0">
        <w:rPr>
          <w:rFonts w:ascii="Arial Narrow" w:hAnsi="Arial Narrow"/>
          <w:color w:val="222222"/>
        </w:rPr>
        <w:t xml:space="preserve"> yang </w:t>
      </w:r>
      <w:proofErr w:type="spellStart"/>
      <w:r w:rsidRPr="005212F0">
        <w:rPr>
          <w:rFonts w:ascii="Arial Narrow" w:hAnsi="Arial Narrow"/>
          <w:color w:val="222222"/>
        </w:rPr>
        <w:t>timbul</w:t>
      </w:r>
      <w:proofErr w:type="spellEnd"/>
      <w:r w:rsidRPr="005212F0">
        <w:rPr>
          <w:rFonts w:ascii="Arial Narrow" w:hAnsi="Arial Narrow"/>
          <w:color w:val="222222"/>
        </w:rPr>
        <w:t xml:space="preserve"> </w:t>
      </w:r>
      <w:proofErr w:type="spellStart"/>
      <w:r w:rsidRPr="005212F0">
        <w:rPr>
          <w:rFonts w:ascii="Arial Narrow" w:hAnsi="Arial Narrow"/>
          <w:color w:val="222222"/>
        </w:rPr>
        <w:t>selama</w:t>
      </w:r>
      <w:proofErr w:type="spellEnd"/>
      <w:r w:rsidRPr="005212F0">
        <w:rPr>
          <w:rFonts w:ascii="Arial Narrow" w:hAnsi="Arial Narrow"/>
          <w:color w:val="222222"/>
        </w:rPr>
        <w:t xml:space="preserve"> </w:t>
      </w:r>
      <w:proofErr w:type="spellStart"/>
      <w:r w:rsidRPr="005212F0">
        <w:rPr>
          <w:rFonts w:ascii="Arial Narrow" w:hAnsi="Arial Narrow"/>
          <w:color w:val="222222"/>
        </w:rPr>
        <w:t>periode</w:t>
      </w:r>
      <w:proofErr w:type="spellEnd"/>
      <w:r w:rsidRPr="005212F0">
        <w:rPr>
          <w:rFonts w:ascii="Arial Narrow" w:hAnsi="Arial Narrow"/>
          <w:color w:val="222222"/>
        </w:rPr>
        <w:t xml:space="preserve"> </w:t>
      </w:r>
      <w:proofErr w:type="spellStart"/>
      <w:r w:rsidRPr="005212F0">
        <w:rPr>
          <w:rFonts w:ascii="Arial Narrow" w:hAnsi="Arial Narrow"/>
          <w:color w:val="222222"/>
        </w:rPr>
        <w:t>tertentu</w:t>
      </w:r>
      <w:proofErr w:type="spellEnd"/>
      <w:r w:rsidRPr="005212F0">
        <w:rPr>
          <w:rFonts w:ascii="Arial Narrow" w:hAnsi="Arial Narrow"/>
          <w:color w:val="222222"/>
        </w:rPr>
        <w:t xml:space="preserve"> </w:t>
      </w:r>
      <w:proofErr w:type="spellStart"/>
      <w:r w:rsidRPr="005212F0">
        <w:rPr>
          <w:rFonts w:ascii="Arial Narrow" w:hAnsi="Arial Narrow"/>
          <w:color w:val="222222"/>
        </w:rPr>
        <w:t>karena</w:t>
      </w:r>
      <w:proofErr w:type="spellEnd"/>
      <w:r w:rsidRPr="005212F0">
        <w:rPr>
          <w:rFonts w:ascii="Arial Narrow" w:hAnsi="Arial Narrow"/>
          <w:color w:val="222222"/>
        </w:rPr>
        <w:t xml:space="preserve"> </w:t>
      </w:r>
      <w:proofErr w:type="spellStart"/>
      <w:r w:rsidRPr="005212F0">
        <w:rPr>
          <w:rFonts w:ascii="Arial Narrow" w:hAnsi="Arial Narrow"/>
          <w:color w:val="222222"/>
        </w:rPr>
        <w:t>pengiriman</w:t>
      </w:r>
      <w:proofErr w:type="spellEnd"/>
      <w:r w:rsidRPr="005212F0">
        <w:rPr>
          <w:rFonts w:ascii="Arial Narrow" w:hAnsi="Arial Narrow"/>
          <w:color w:val="222222"/>
        </w:rPr>
        <w:t xml:space="preserve"> </w:t>
      </w:r>
      <w:proofErr w:type="spellStart"/>
      <w:r w:rsidRPr="005212F0">
        <w:rPr>
          <w:rFonts w:ascii="Arial Narrow" w:hAnsi="Arial Narrow"/>
          <w:color w:val="222222"/>
        </w:rPr>
        <w:t>atau</w:t>
      </w:r>
      <w:proofErr w:type="spellEnd"/>
      <w:r w:rsidRPr="005212F0">
        <w:rPr>
          <w:rFonts w:ascii="Arial Narrow" w:hAnsi="Arial Narrow"/>
          <w:color w:val="222222"/>
        </w:rPr>
        <w:t xml:space="preserve"> </w:t>
      </w:r>
      <w:proofErr w:type="spellStart"/>
      <w:r w:rsidRPr="005212F0">
        <w:rPr>
          <w:rFonts w:ascii="Arial Narrow" w:hAnsi="Arial Narrow"/>
          <w:color w:val="222222"/>
        </w:rPr>
        <w:t>produksi</w:t>
      </w:r>
      <w:proofErr w:type="spellEnd"/>
      <w:r w:rsidRPr="005212F0">
        <w:rPr>
          <w:rFonts w:ascii="Arial Narrow" w:hAnsi="Arial Narrow"/>
          <w:color w:val="222222"/>
        </w:rPr>
        <w:t xml:space="preserve"> </w:t>
      </w:r>
      <w:proofErr w:type="spellStart"/>
      <w:r w:rsidRPr="005212F0">
        <w:rPr>
          <w:rFonts w:ascii="Arial Narrow" w:hAnsi="Arial Narrow"/>
          <w:color w:val="222222"/>
        </w:rPr>
        <w:t>barang</w:t>
      </w:r>
      <w:proofErr w:type="spellEnd"/>
      <w:r w:rsidRPr="005212F0">
        <w:rPr>
          <w:rFonts w:ascii="Arial Narrow" w:hAnsi="Arial Narrow"/>
          <w:color w:val="222222"/>
        </w:rPr>
        <w:t xml:space="preserve"> </w:t>
      </w:r>
      <w:proofErr w:type="spellStart"/>
      <w:r w:rsidRPr="005212F0">
        <w:rPr>
          <w:rFonts w:ascii="Arial Narrow" w:hAnsi="Arial Narrow"/>
          <w:color w:val="222222"/>
        </w:rPr>
        <w:t>dan</w:t>
      </w:r>
      <w:proofErr w:type="spellEnd"/>
      <w:r w:rsidRPr="005212F0">
        <w:rPr>
          <w:rFonts w:ascii="Arial Narrow" w:hAnsi="Arial Narrow"/>
          <w:color w:val="222222"/>
        </w:rPr>
        <w:t xml:space="preserve"> </w:t>
      </w:r>
      <w:proofErr w:type="spellStart"/>
      <w:r w:rsidRPr="005212F0">
        <w:rPr>
          <w:rFonts w:ascii="Arial Narrow" w:hAnsi="Arial Narrow"/>
          <w:color w:val="222222"/>
        </w:rPr>
        <w:t>menyelesaikan</w:t>
      </w:r>
      <w:proofErr w:type="spellEnd"/>
      <w:r w:rsidRPr="005212F0">
        <w:rPr>
          <w:rFonts w:ascii="Arial Narrow" w:hAnsi="Arial Narrow"/>
          <w:color w:val="222222"/>
        </w:rPr>
        <w:t xml:space="preserve"> </w:t>
      </w:r>
      <w:proofErr w:type="spellStart"/>
      <w:r w:rsidRPr="005212F0">
        <w:rPr>
          <w:rFonts w:ascii="Arial Narrow" w:hAnsi="Arial Narrow"/>
          <w:color w:val="222222"/>
        </w:rPr>
        <w:t>jasa</w:t>
      </w:r>
      <w:proofErr w:type="spellEnd"/>
      <w:r w:rsidRPr="005212F0">
        <w:rPr>
          <w:rFonts w:ascii="Arial Narrow" w:hAnsi="Arial Narrow"/>
          <w:color w:val="222222"/>
        </w:rPr>
        <w:t>.</w:t>
      </w:r>
    </w:p>
    <w:p w:rsidR="005212F0" w:rsidRDefault="005212F0" w:rsidP="005212F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 w:themeColor="text1"/>
        </w:rPr>
      </w:pPr>
      <w:proofErr w:type="spellStart"/>
      <w:r w:rsidRPr="005212F0">
        <w:rPr>
          <w:rFonts w:ascii="Arial Narrow" w:hAnsi="Arial Narrow"/>
          <w:color w:val="000000" w:themeColor="text1"/>
        </w:rPr>
        <w:t>Laba</w:t>
      </w:r>
      <w:proofErr w:type="spellEnd"/>
    </w:p>
    <w:p w:rsidR="005212F0" w:rsidRPr="005212F0" w:rsidRDefault="005212F0" w:rsidP="005212F0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 Narrow" w:hAnsi="Arial Narrow"/>
          <w:color w:val="000000" w:themeColor="text1"/>
        </w:rPr>
      </w:pP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Keuntungan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adalah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peningkatan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ekuitas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karena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adanya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transaksi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perusahaan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yang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sifatnya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periferal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atau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secara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kebetulan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dihasilkan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dari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pendapatan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atau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investasi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dari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pemilik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hd w:val="clear" w:color="auto" w:fill="FFFFFF"/>
        </w:rPr>
        <w:t>perusahaan</w:t>
      </w:r>
      <w:proofErr w:type="spellEnd"/>
      <w:r w:rsidRPr="005212F0">
        <w:rPr>
          <w:rFonts w:ascii="Arial Narrow" w:hAnsi="Arial Narrow"/>
          <w:color w:val="222222"/>
          <w:shd w:val="clear" w:color="auto" w:fill="FFFFFF"/>
        </w:rPr>
        <w:t>.</w:t>
      </w:r>
    </w:p>
    <w:p w:rsidR="005212F0" w:rsidRDefault="005212F0" w:rsidP="005212F0">
      <w:pPr>
        <w:pStyle w:val="ListParagraph"/>
        <w:numPr>
          <w:ilvl w:val="0"/>
          <w:numId w:val="15"/>
        </w:num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212F0">
        <w:rPr>
          <w:rFonts w:ascii="Arial Narrow" w:hAnsi="Arial Narrow"/>
          <w:color w:val="000000" w:themeColor="text1"/>
          <w:sz w:val="24"/>
          <w:szCs w:val="24"/>
        </w:rPr>
        <w:t>Rugi</w:t>
      </w:r>
      <w:proofErr w:type="spellEnd"/>
    </w:p>
    <w:p w:rsidR="005212F0" w:rsidRPr="005212F0" w:rsidRDefault="005212F0" w:rsidP="005212F0">
      <w:pPr>
        <w:pStyle w:val="ListParagraph"/>
        <w:spacing w:after="0"/>
        <w:jc w:val="both"/>
        <w:rPr>
          <w:rFonts w:ascii="Arial Narrow" w:hAnsi="Arial Narrow"/>
          <w:color w:val="000000" w:themeColor="text1"/>
          <w:sz w:val="28"/>
          <w:szCs w:val="24"/>
        </w:rPr>
      </w:pPr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Ada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keuntungan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ada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juga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kerugian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,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sebaliknya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dari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keuntungan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,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kerugian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adalah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penurunan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ekuitas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karena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adanya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transaksi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perusahaan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secara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kebetulan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dihasilkan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dari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beban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atau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pendistribusian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ke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pemilik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 xml:space="preserve"> </w:t>
      </w:r>
      <w:proofErr w:type="spellStart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perusahaan</w:t>
      </w:r>
      <w:proofErr w:type="spellEnd"/>
      <w:r w:rsidRPr="005212F0">
        <w:rPr>
          <w:rFonts w:ascii="Arial Narrow" w:hAnsi="Arial Narrow"/>
          <w:color w:val="222222"/>
          <w:sz w:val="24"/>
          <w:shd w:val="clear" w:color="auto" w:fill="FFFFFF"/>
        </w:rPr>
        <w:t>.</w:t>
      </w:r>
    </w:p>
    <w:p w:rsidR="00803BCC" w:rsidRPr="005212F0" w:rsidRDefault="00803BCC" w:rsidP="005212F0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sectPr w:rsidR="00803BCC" w:rsidRPr="005212F0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06" w:rsidRDefault="00556D06" w:rsidP="00374EDE">
      <w:pPr>
        <w:spacing w:after="0" w:line="240" w:lineRule="auto"/>
      </w:pPr>
      <w:r>
        <w:separator/>
      </w:r>
    </w:p>
  </w:endnote>
  <w:endnote w:type="continuationSeparator" w:id="0">
    <w:p w:rsidR="00556D06" w:rsidRDefault="00556D06" w:rsidP="0037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06" w:rsidRDefault="00556D06" w:rsidP="00374EDE">
      <w:pPr>
        <w:spacing w:after="0" w:line="240" w:lineRule="auto"/>
      </w:pPr>
      <w:r>
        <w:separator/>
      </w:r>
    </w:p>
  </w:footnote>
  <w:footnote w:type="continuationSeparator" w:id="0">
    <w:p w:rsidR="00556D06" w:rsidRDefault="00556D06" w:rsidP="0037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57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32"/>
      <w:gridCol w:w="275"/>
      <w:gridCol w:w="5326"/>
      <w:gridCol w:w="1643"/>
    </w:tblGrid>
    <w:tr w:rsidR="005959EA" w:rsidRPr="00374EDE" w:rsidTr="005959EA">
      <w:trPr>
        <w:trHeight w:val="281"/>
      </w:trPr>
      <w:tc>
        <w:tcPr>
          <w:tcW w:w="7933" w:type="dxa"/>
          <w:gridSpan w:val="3"/>
        </w:tcPr>
        <w:p w:rsidR="005959EA" w:rsidRPr="00374EDE" w:rsidRDefault="005959EA" w:rsidP="00374EDE">
          <w:pPr>
            <w:spacing w:after="0"/>
            <w:jc w:val="both"/>
            <w:rPr>
              <w:rFonts w:ascii="Arial Narrow" w:hAnsi="Arial Narrow"/>
              <w:color w:val="FF0000"/>
            </w:rPr>
          </w:pPr>
          <w:r>
            <w:rPr>
              <w:rFonts w:ascii="Arial Narrow" w:hAnsi="Arial Narrow"/>
              <w:color w:val="FF0000"/>
            </w:rPr>
            <w:t xml:space="preserve">MATA KULIAH: </w:t>
          </w:r>
          <w:r w:rsidRPr="00374EDE">
            <w:rPr>
              <w:rFonts w:ascii="Arial Narrow" w:hAnsi="Arial Narrow"/>
              <w:color w:val="FF0000"/>
            </w:rPr>
            <w:t>FINON AKUNTANSI</w:t>
          </w:r>
          <w:r>
            <w:rPr>
              <w:rFonts w:ascii="Arial Narrow" w:hAnsi="Arial Narrow"/>
              <w:color w:val="FF0000"/>
            </w:rPr>
            <w:t xml:space="preserve"> (</w:t>
          </w:r>
          <w:r w:rsidRPr="00374EDE">
            <w:rPr>
              <w:rFonts w:ascii="Arial Narrow" w:hAnsi="Arial Narrow"/>
              <w:color w:val="FF0000"/>
            </w:rPr>
            <w:t>MMDA33</w:t>
          </w:r>
          <w:r>
            <w:rPr>
              <w:rFonts w:ascii="Arial Narrow" w:hAnsi="Arial Narrow"/>
              <w:color w:val="FF0000"/>
            </w:rPr>
            <w:t>)</w:t>
          </w:r>
        </w:p>
      </w:tc>
      <w:tc>
        <w:tcPr>
          <w:tcW w:w="1643" w:type="dxa"/>
          <w:vMerge w:val="restart"/>
          <w:vAlign w:val="center"/>
        </w:tcPr>
        <w:p w:rsidR="005959EA" w:rsidRPr="00374EDE" w:rsidRDefault="005959EA" w:rsidP="005959EA">
          <w:pPr>
            <w:spacing w:after="0"/>
            <w:jc w:val="center"/>
            <w:rPr>
              <w:rFonts w:ascii="Arial Narrow" w:hAnsi="Arial Narrow"/>
            </w:rPr>
          </w:pPr>
          <w:r w:rsidRPr="00374EDE">
            <w:rPr>
              <w:rFonts w:ascii="Arial Narrow" w:hAnsi="Arial Narrow"/>
              <w:noProof/>
            </w:rPr>
            <w:drawing>
              <wp:inline distT="0" distB="0" distL="0" distR="0" wp14:anchorId="6D4E7831" wp14:editId="7665F3BF">
                <wp:extent cx="1008337" cy="612475"/>
                <wp:effectExtent l="0" t="0" r="1905" b="0"/>
                <wp:docPr id="1" name="Picture 4" descr="C:\Users\muhazhari\Desktop\SCBTII 2017\Bukti2\Logo_11.F.Ekonomi Bisnis Memus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C:\Users\muhazhari\Desktop\SCBTII 2017\Bukti2\Logo_11.F.Ekonomi Bisnis Memus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737" cy="653414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5959EA" w:rsidRPr="00374EDE" w:rsidTr="005959EA">
      <w:trPr>
        <w:trHeight w:val="273"/>
      </w:trPr>
      <w:tc>
        <w:tcPr>
          <w:tcW w:w="2332" w:type="dxa"/>
        </w:tcPr>
        <w:p w:rsidR="005959EA" w:rsidRPr="00374EDE" w:rsidRDefault="005959EA" w:rsidP="00374EDE">
          <w:pPr>
            <w:spacing w:after="0"/>
            <w:rPr>
              <w:rFonts w:ascii="Arial Narrow" w:hAnsi="Arial Narrow"/>
            </w:rPr>
          </w:pPr>
          <w:r w:rsidRPr="00374EDE">
            <w:rPr>
              <w:rFonts w:ascii="Arial Narrow" w:hAnsi="Arial Narrow"/>
            </w:rPr>
            <w:t>RINGKASAN MATERI</w:t>
          </w:r>
          <w:r w:rsidR="000B1224">
            <w:rPr>
              <w:rFonts w:ascii="Arial Narrow" w:hAnsi="Arial Narrow"/>
            </w:rPr>
            <w:t xml:space="preserve"> 2</w:t>
          </w:r>
        </w:p>
      </w:tc>
      <w:tc>
        <w:tcPr>
          <w:tcW w:w="275" w:type="dxa"/>
        </w:tcPr>
        <w:p w:rsidR="005959EA" w:rsidRPr="00374EDE" w:rsidRDefault="005959EA" w:rsidP="00374EDE">
          <w:pPr>
            <w:spacing w:after="0"/>
            <w:rPr>
              <w:rFonts w:ascii="Arial Narrow" w:hAnsi="Arial Narrow"/>
            </w:rPr>
          </w:pPr>
          <w:r w:rsidRPr="00374EDE">
            <w:rPr>
              <w:rFonts w:ascii="Arial Narrow" w:hAnsi="Arial Narrow"/>
            </w:rPr>
            <w:t>:</w:t>
          </w:r>
        </w:p>
      </w:tc>
      <w:tc>
        <w:tcPr>
          <w:tcW w:w="5326" w:type="dxa"/>
        </w:tcPr>
        <w:p w:rsidR="005959EA" w:rsidRPr="00374EDE" w:rsidRDefault="000B1224" w:rsidP="00374EDE">
          <w:pPr>
            <w:spacing w:after="0"/>
            <w:jc w:val="both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NERACA DAN LAPORAN RUGI-LABA</w:t>
          </w:r>
        </w:p>
      </w:tc>
      <w:tc>
        <w:tcPr>
          <w:tcW w:w="1643" w:type="dxa"/>
          <w:vMerge/>
          <w:vAlign w:val="center"/>
        </w:tcPr>
        <w:p w:rsidR="005959EA" w:rsidRPr="00374EDE" w:rsidRDefault="005959EA" w:rsidP="00374EDE">
          <w:pPr>
            <w:spacing w:after="0"/>
            <w:rPr>
              <w:rFonts w:ascii="Arial Narrow" w:hAnsi="Arial Narrow"/>
            </w:rPr>
          </w:pPr>
        </w:p>
      </w:tc>
    </w:tr>
    <w:tr w:rsidR="005959EA" w:rsidRPr="00374EDE" w:rsidTr="005959EA">
      <w:trPr>
        <w:trHeight w:val="263"/>
      </w:trPr>
      <w:tc>
        <w:tcPr>
          <w:tcW w:w="2332" w:type="dxa"/>
        </w:tcPr>
        <w:p w:rsidR="005959EA" w:rsidRPr="00374EDE" w:rsidRDefault="005959EA" w:rsidP="00374EDE">
          <w:pPr>
            <w:spacing w:after="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PROGRAM STUDI</w:t>
          </w:r>
        </w:p>
      </w:tc>
      <w:tc>
        <w:tcPr>
          <w:tcW w:w="275" w:type="dxa"/>
        </w:tcPr>
        <w:p w:rsidR="005959EA" w:rsidRPr="00374EDE" w:rsidRDefault="005959EA" w:rsidP="00374EDE">
          <w:pPr>
            <w:spacing w:after="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:</w:t>
          </w:r>
        </w:p>
      </w:tc>
      <w:tc>
        <w:tcPr>
          <w:tcW w:w="5326" w:type="dxa"/>
        </w:tcPr>
        <w:p w:rsidR="005959EA" w:rsidRPr="00374EDE" w:rsidRDefault="005959EA" w:rsidP="00374EDE">
          <w:pPr>
            <w:spacing w:after="0"/>
            <w:jc w:val="both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MAGISTER MANAJEMEN</w:t>
          </w:r>
        </w:p>
      </w:tc>
      <w:tc>
        <w:tcPr>
          <w:tcW w:w="1643" w:type="dxa"/>
          <w:vMerge/>
          <w:vAlign w:val="center"/>
        </w:tcPr>
        <w:p w:rsidR="005959EA" w:rsidRPr="00374EDE" w:rsidRDefault="005959EA" w:rsidP="00374EDE">
          <w:pPr>
            <w:spacing w:after="0"/>
            <w:rPr>
              <w:rFonts w:ascii="Arial Narrow" w:hAnsi="Arial Narrow"/>
            </w:rPr>
          </w:pPr>
        </w:p>
      </w:tc>
    </w:tr>
    <w:tr w:rsidR="005959EA" w:rsidRPr="00374EDE" w:rsidTr="005959EA">
      <w:trPr>
        <w:trHeight w:val="254"/>
      </w:trPr>
      <w:tc>
        <w:tcPr>
          <w:tcW w:w="2332" w:type="dxa"/>
        </w:tcPr>
        <w:p w:rsidR="005959EA" w:rsidRPr="00374EDE" w:rsidRDefault="005959EA" w:rsidP="00374EDE">
          <w:pPr>
            <w:spacing w:after="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FAKULTAS</w:t>
          </w:r>
        </w:p>
      </w:tc>
      <w:tc>
        <w:tcPr>
          <w:tcW w:w="275" w:type="dxa"/>
        </w:tcPr>
        <w:p w:rsidR="005959EA" w:rsidRPr="00374EDE" w:rsidRDefault="005959EA" w:rsidP="00374EDE">
          <w:pPr>
            <w:spacing w:after="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:</w:t>
          </w:r>
        </w:p>
      </w:tc>
      <w:tc>
        <w:tcPr>
          <w:tcW w:w="5326" w:type="dxa"/>
        </w:tcPr>
        <w:p w:rsidR="005959EA" w:rsidRPr="00374EDE" w:rsidRDefault="005959EA" w:rsidP="00374EDE">
          <w:pPr>
            <w:spacing w:after="0"/>
            <w:jc w:val="both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EKONOMI DAN BISNIS</w:t>
          </w:r>
        </w:p>
      </w:tc>
      <w:tc>
        <w:tcPr>
          <w:tcW w:w="1643" w:type="dxa"/>
          <w:vMerge/>
          <w:vAlign w:val="center"/>
        </w:tcPr>
        <w:p w:rsidR="005959EA" w:rsidRPr="00374EDE" w:rsidRDefault="005959EA" w:rsidP="00374EDE">
          <w:pPr>
            <w:spacing w:after="0"/>
            <w:rPr>
              <w:rFonts w:ascii="Arial Narrow" w:hAnsi="Arial Narrow"/>
            </w:rPr>
          </w:pPr>
        </w:p>
      </w:tc>
    </w:tr>
  </w:tbl>
  <w:p w:rsidR="00374EDE" w:rsidRDefault="00374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0F4E"/>
    <w:multiLevelType w:val="hybridMultilevel"/>
    <w:tmpl w:val="A22C2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47DB"/>
    <w:multiLevelType w:val="hybridMultilevel"/>
    <w:tmpl w:val="DE88AFC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FDD2901"/>
    <w:multiLevelType w:val="hybridMultilevel"/>
    <w:tmpl w:val="775E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7ED8"/>
    <w:multiLevelType w:val="hybridMultilevel"/>
    <w:tmpl w:val="00809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F1A11"/>
    <w:multiLevelType w:val="hybridMultilevel"/>
    <w:tmpl w:val="66F2D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604CE"/>
    <w:multiLevelType w:val="hybridMultilevel"/>
    <w:tmpl w:val="E2BA8866"/>
    <w:lvl w:ilvl="0" w:tplc="0409000F">
      <w:start w:val="1"/>
      <w:numFmt w:val="decimal"/>
      <w:lvlText w:val="%1."/>
      <w:lvlJc w:val="left"/>
      <w:pPr>
        <w:ind w:left="1134" w:hanging="360"/>
      </w:p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 w15:restartNumberingAfterBreak="0">
    <w:nsid w:val="58A27DF2"/>
    <w:multiLevelType w:val="hybridMultilevel"/>
    <w:tmpl w:val="4BD0B906"/>
    <w:lvl w:ilvl="0" w:tplc="BA6EC53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46F85"/>
    <w:multiLevelType w:val="hybridMultilevel"/>
    <w:tmpl w:val="2DE04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B79E8"/>
    <w:multiLevelType w:val="hybridMultilevel"/>
    <w:tmpl w:val="8E26D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2704B"/>
    <w:multiLevelType w:val="hybridMultilevel"/>
    <w:tmpl w:val="5AE0DF8C"/>
    <w:lvl w:ilvl="0" w:tplc="BA6EC53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226"/>
    <w:multiLevelType w:val="hybridMultilevel"/>
    <w:tmpl w:val="CCFA3604"/>
    <w:lvl w:ilvl="0" w:tplc="BA6EC53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E64D8"/>
    <w:multiLevelType w:val="hybridMultilevel"/>
    <w:tmpl w:val="2154E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86467"/>
    <w:multiLevelType w:val="hybridMultilevel"/>
    <w:tmpl w:val="2DF0D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B2DC2"/>
    <w:multiLevelType w:val="hybridMultilevel"/>
    <w:tmpl w:val="2BB8B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47FDB"/>
    <w:multiLevelType w:val="hybridMultilevel"/>
    <w:tmpl w:val="8E26D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13"/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8D"/>
    <w:rsid w:val="00012636"/>
    <w:rsid w:val="0003305F"/>
    <w:rsid w:val="00065D7F"/>
    <w:rsid w:val="00071144"/>
    <w:rsid w:val="00087E41"/>
    <w:rsid w:val="000B1224"/>
    <w:rsid w:val="000D2E09"/>
    <w:rsid w:val="000F0900"/>
    <w:rsid w:val="000F73DA"/>
    <w:rsid w:val="001047CD"/>
    <w:rsid w:val="00113B24"/>
    <w:rsid w:val="00120B45"/>
    <w:rsid w:val="001300B0"/>
    <w:rsid w:val="001D0195"/>
    <w:rsid w:val="00211F13"/>
    <w:rsid w:val="00254171"/>
    <w:rsid w:val="00263AE0"/>
    <w:rsid w:val="002670DF"/>
    <w:rsid w:val="00276E49"/>
    <w:rsid w:val="002A0FED"/>
    <w:rsid w:val="002C6D41"/>
    <w:rsid w:val="002F20B8"/>
    <w:rsid w:val="00315386"/>
    <w:rsid w:val="00331915"/>
    <w:rsid w:val="0033638B"/>
    <w:rsid w:val="00360A89"/>
    <w:rsid w:val="00365DDA"/>
    <w:rsid w:val="00374EDE"/>
    <w:rsid w:val="00382779"/>
    <w:rsid w:val="003923E1"/>
    <w:rsid w:val="0039554F"/>
    <w:rsid w:val="00396DC5"/>
    <w:rsid w:val="003A7AF7"/>
    <w:rsid w:val="003E69C8"/>
    <w:rsid w:val="0041373A"/>
    <w:rsid w:val="004272C0"/>
    <w:rsid w:val="00433CFE"/>
    <w:rsid w:val="00466E45"/>
    <w:rsid w:val="0049012A"/>
    <w:rsid w:val="004B0918"/>
    <w:rsid w:val="004D1532"/>
    <w:rsid w:val="004F2A98"/>
    <w:rsid w:val="00503EC2"/>
    <w:rsid w:val="00514C86"/>
    <w:rsid w:val="005212F0"/>
    <w:rsid w:val="00556D06"/>
    <w:rsid w:val="00567718"/>
    <w:rsid w:val="00581B0F"/>
    <w:rsid w:val="005959EA"/>
    <w:rsid w:val="00596C9C"/>
    <w:rsid w:val="005A0843"/>
    <w:rsid w:val="005B26BA"/>
    <w:rsid w:val="005E6EBB"/>
    <w:rsid w:val="006A087C"/>
    <w:rsid w:val="006B3F68"/>
    <w:rsid w:val="0077521D"/>
    <w:rsid w:val="00777533"/>
    <w:rsid w:val="0078708F"/>
    <w:rsid w:val="00803BCC"/>
    <w:rsid w:val="00812576"/>
    <w:rsid w:val="00812BAC"/>
    <w:rsid w:val="00816F3F"/>
    <w:rsid w:val="00827321"/>
    <w:rsid w:val="00894DCF"/>
    <w:rsid w:val="00936682"/>
    <w:rsid w:val="009476CC"/>
    <w:rsid w:val="0097655E"/>
    <w:rsid w:val="00A207A3"/>
    <w:rsid w:val="00A31890"/>
    <w:rsid w:val="00A447C9"/>
    <w:rsid w:val="00A937DD"/>
    <w:rsid w:val="00AA1A7A"/>
    <w:rsid w:val="00B00BC3"/>
    <w:rsid w:val="00B04491"/>
    <w:rsid w:val="00B310F8"/>
    <w:rsid w:val="00B33B1D"/>
    <w:rsid w:val="00B9274A"/>
    <w:rsid w:val="00BA368D"/>
    <w:rsid w:val="00BA7EB2"/>
    <w:rsid w:val="00BC2D18"/>
    <w:rsid w:val="00C10E5C"/>
    <w:rsid w:val="00C10FD9"/>
    <w:rsid w:val="00C34490"/>
    <w:rsid w:val="00C40D41"/>
    <w:rsid w:val="00C4329A"/>
    <w:rsid w:val="00C50C3C"/>
    <w:rsid w:val="00C56690"/>
    <w:rsid w:val="00C62829"/>
    <w:rsid w:val="00C71C33"/>
    <w:rsid w:val="00C95D0F"/>
    <w:rsid w:val="00CC4212"/>
    <w:rsid w:val="00DB2CBE"/>
    <w:rsid w:val="00DF6351"/>
    <w:rsid w:val="00E236AF"/>
    <w:rsid w:val="00E26CDC"/>
    <w:rsid w:val="00E40413"/>
    <w:rsid w:val="00E514B4"/>
    <w:rsid w:val="00E71796"/>
    <w:rsid w:val="00ED43E7"/>
    <w:rsid w:val="00EE6A93"/>
    <w:rsid w:val="00F1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40306"/>
  <w15:chartTrackingRefBased/>
  <w15:docId w15:val="{FC10FA73-08D8-4F2D-A557-D6957760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E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EDE"/>
  </w:style>
  <w:style w:type="paragraph" w:styleId="Footer">
    <w:name w:val="footer"/>
    <w:basedOn w:val="Normal"/>
    <w:link w:val="FooterChar"/>
    <w:uiPriority w:val="99"/>
    <w:unhideWhenUsed/>
    <w:rsid w:val="00374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EDE"/>
  </w:style>
  <w:style w:type="paragraph" w:styleId="ListParagraph">
    <w:name w:val="List Paragraph"/>
    <w:basedOn w:val="Normal"/>
    <w:uiPriority w:val="34"/>
    <w:qFormat/>
    <w:rsid w:val="0001263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012A"/>
    <w:rPr>
      <w:b/>
      <w:bCs/>
    </w:rPr>
  </w:style>
  <w:style w:type="character" w:styleId="Emphasis">
    <w:name w:val="Emphasis"/>
    <w:basedOn w:val="DefaultParagraphFont"/>
    <w:uiPriority w:val="20"/>
    <w:qFormat/>
    <w:rsid w:val="005E6EB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16F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rnal.id/id/blog/perbedaan-sak-dan-ifr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sen.perbanas.id/laporan-keuangaan-sebelum-dan-sesudah-ifrs-international-financial-reporting-standard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AZHARI</dc:creator>
  <cp:keywords/>
  <dc:description/>
  <cp:lastModifiedBy>MUHAMMAD AZHARI</cp:lastModifiedBy>
  <cp:revision>35</cp:revision>
  <dcterms:created xsi:type="dcterms:W3CDTF">2020-06-16T02:50:00Z</dcterms:created>
  <dcterms:modified xsi:type="dcterms:W3CDTF">2020-06-17T15:08:00Z</dcterms:modified>
</cp:coreProperties>
</file>