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4486" w14:textId="47107F5E" w:rsidR="00DF1E13" w:rsidRPr="00891C85" w:rsidRDefault="005D6E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>Demokratisasi</w:t>
      </w:r>
      <w:proofErr w:type="spellEnd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dan </w:t>
      </w:r>
      <w:proofErr w:type="spellStart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>Kebijakan</w:t>
      </w:r>
      <w:proofErr w:type="spellEnd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>Luar</w:t>
      </w:r>
      <w:proofErr w:type="spellEnd"/>
      <w:r w:rsidRPr="00891C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Negeri Indonesia</w:t>
      </w:r>
    </w:p>
    <w:p w14:paraId="674F9F73" w14:textId="77777777" w:rsidR="00970083" w:rsidRDefault="007A5011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 Indonesia.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dan </w:t>
      </w:r>
      <w:r w:rsidR="005D6EA1" w:rsidRPr="00891C85">
        <w:rPr>
          <w:rFonts w:ascii="Times New Roman" w:hAnsi="Times New Roman" w:cs="Times New Roman"/>
          <w:i/>
          <w:iCs/>
          <w:sz w:val="24"/>
          <w:szCs w:val="24"/>
        </w:rPr>
        <w:t>peaceful conflict resolution</w:t>
      </w:r>
      <w:r w:rsidR="005D6EA1" w:rsidRPr="00891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, pada era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non-negara juga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5D6EA1" w:rsidRPr="00891C8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D6EA1" w:rsidRPr="00891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C8526" w14:textId="77777777" w:rsidR="00970083" w:rsidRDefault="0097008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882766" w14:textId="0C26569C" w:rsidR="00161794" w:rsidRDefault="00891C85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5A4E74">
        <w:rPr>
          <w:rFonts w:ascii="Times New Roman" w:hAnsi="Times New Roman" w:cs="Times New Roman"/>
          <w:i/>
          <w:iCs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5779E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sentiment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DPR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083">
        <w:rPr>
          <w:rFonts w:ascii="Times New Roman" w:hAnsi="Times New Roman" w:cs="Times New Roman"/>
          <w:sz w:val="24"/>
          <w:szCs w:val="24"/>
        </w:rPr>
        <w:t xml:space="preserve">NGOs dan </w:t>
      </w:r>
      <w:r w:rsidR="00970083" w:rsidRPr="00970083">
        <w:rPr>
          <w:rFonts w:ascii="Times New Roman" w:hAnsi="Times New Roman" w:cs="Times New Roman"/>
          <w:i/>
          <w:iCs/>
          <w:sz w:val="24"/>
          <w:szCs w:val="24"/>
        </w:rPr>
        <w:t>civil society</w:t>
      </w:r>
      <w:r w:rsidR="009700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7008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70083">
        <w:rPr>
          <w:rFonts w:ascii="Times New Roman" w:hAnsi="Times New Roman" w:cs="Times New Roman"/>
          <w:sz w:val="24"/>
          <w:szCs w:val="24"/>
        </w:rPr>
        <w:t>.</w:t>
      </w:r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 w:rsidRPr="005779E5">
        <w:rPr>
          <w:rFonts w:ascii="Times New Roman" w:hAnsi="Times New Roman" w:cs="Times New Roman"/>
          <w:b/>
          <w:bCs/>
          <w:sz w:val="24"/>
          <w:szCs w:val="24"/>
        </w:rPr>
        <w:t>politisasi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negeri oleh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4E7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A4E74">
        <w:rPr>
          <w:rFonts w:ascii="Times New Roman" w:hAnsi="Times New Roman" w:cs="Times New Roman"/>
          <w:sz w:val="24"/>
          <w:szCs w:val="24"/>
        </w:rPr>
        <w:t xml:space="preserve"> partisan. </w:t>
      </w:r>
    </w:p>
    <w:p w14:paraId="51EBD507" w14:textId="5F5855FE" w:rsidR="00970083" w:rsidRDefault="0097008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E7D30E" w14:textId="5B847063" w:rsidR="00970083" w:rsidRDefault="0097008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Megawati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Soekarnoputri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9/11 di New York dan Washington, DC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b/>
          <w:bCs/>
          <w:sz w:val="24"/>
          <w:szCs w:val="24"/>
        </w:rPr>
        <w:t>global war on terrorism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Bush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MEMODERASI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79E5">
        <w:rPr>
          <w:rFonts w:ascii="Times New Roman" w:hAnsi="Times New Roman" w:cs="Times New Roman"/>
          <w:i/>
          <w:iCs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87131" w14:textId="447B1581" w:rsidR="00970083" w:rsidRDefault="0097008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0F4D241" w14:textId="49215CEA" w:rsidR="00970083" w:rsidRDefault="0097008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2C7B">
        <w:rPr>
          <w:rFonts w:ascii="Times New Roman" w:hAnsi="Times New Roman" w:cs="Times New Roman"/>
          <w:b/>
          <w:bCs/>
          <w:sz w:val="24"/>
          <w:szCs w:val="24"/>
        </w:rPr>
        <w:t>TUGAS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Cari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F64DDC" w14:textId="77777777" w:rsidR="003115A3" w:rsidRDefault="003115A3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15A406" w14:textId="7B99AD52" w:rsidR="003115A3" w:rsidRPr="003115A3" w:rsidRDefault="003115A3" w:rsidP="003115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C4E7C">
        <w:rPr>
          <w:rFonts w:ascii="Times New Roman" w:hAnsi="Times New Roman" w:cs="Times New Roman"/>
          <w:sz w:val="24"/>
          <w:szCs w:val="24"/>
        </w:rPr>
        <w:t xml:space="preserve"> (</w:t>
      </w:r>
      <w:r w:rsidR="008C4E7C" w:rsidRPr="008C4E7C">
        <w:rPr>
          <w:rFonts w:ascii="Times New Roman" w:hAnsi="Times New Roman" w:cs="Times New Roman"/>
          <w:i/>
          <w:iCs/>
          <w:sz w:val="24"/>
          <w:szCs w:val="24"/>
        </w:rPr>
        <w:t>two-level game</w:t>
      </w:r>
      <w:r w:rsidR="008C4E7C">
        <w:rPr>
          <w:rFonts w:ascii="Times New Roman" w:hAnsi="Times New Roman" w:cs="Times New Roman"/>
          <w:sz w:val="24"/>
          <w:szCs w:val="24"/>
        </w:rPr>
        <w:t>)</w:t>
      </w:r>
      <w:r w:rsidRPr="00311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. Putnam (1988)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politiknya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di level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4182E" w14:textId="77777777" w:rsidR="003115A3" w:rsidRDefault="003115A3" w:rsidP="003115A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66B843" w14:textId="681166DD" w:rsidR="003115A3" w:rsidRPr="003115A3" w:rsidRDefault="003115A3" w:rsidP="003115A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di Sumatera,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meratifikasi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r w:rsidRPr="003115A3">
        <w:rPr>
          <w:rFonts w:ascii="Times New Roman" w:hAnsi="Times New Roman" w:cs="Times New Roman"/>
          <w:i/>
          <w:iCs/>
          <w:sz w:val="24"/>
          <w:szCs w:val="24"/>
        </w:rPr>
        <w:t>ASEAN Agreement on Transboundary Haze Pollution</w:t>
      </w:r>
      <w:r w:rsidRPr="003115A3">
        <w:rPr>
          <w:rFonts w:ascii="Times New Roman" w:hAnsi="Times New Roman" w:cs="Times New Roman"/>
          <w:sz w:val="24"/>
          <w:szCs w:val="24"/>
        </w:rPr>
        <w:t xml:space="preserve"> (AATHP),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bernegosiasi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domestiknya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diratifikasi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42272EC1" w14:textId="77777777" w:rsidR="00D70B7C" w:rsidRDefault="00D70B7C" w:rsidP="009700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15BC530" w14:textId="143014B3" w:rsidR="00D70B7C" w:rsidRDefault="00D70B7C" w:rsidP="00D70B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7C">
        <w:rPr>
          <w:rFonts w:ascii="Times New Roman" w:hAnsi="Times New Roman" w:cs="Times New Roman"/>
          <w:i/>
          <w:iCs/>
          <w:sz w:val="24"/>
          <w:szCs w:val="24"/>
        </w:rPr>
        <w:t>dispersion of power to the individual citizens</w:t>
      </w:r>
      <w:r w:rsidR="00E02C7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E02C7B">
        <w:rPr>
          <w:rFonts w:ascii="Times New Roman" w:hAnsi="Times New Roman" w:cs="Times New Roman"/>
          <w:i/>
          <w:iCs/>
          <w:sz w:val="24"/>
          <w:szCs w:val="24"/>
        </w:rPr>
        <w:t>facebookers</w:t>
      </w:r>
      <w:proofErr w:type="spellEnd"/>
      <w:r w:rsidR="005779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2C7B">
        <w:rPr>
          <w:rFonts w:ascii="Times New Roman" w:hAnsi="Times New Roman" w:cs="Times New Roman"/>
          <w:i/>
          <w:iCs/>
          <w:sz w:val="24"/>
          <w:szCs w:val="24"/>
        </w:rPr>
        <w:t>twitters</w:t>
      </w:r>
      <w:r w:rsidR="005779E5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5779E5">
        <w:rPr>
          <w:rFonts w:ascii="Times New Roman" w:hAnsi="Times New Roman" w:cs="Times New Roman"/>
          <w:i/>
          <w:iCs/>
          <w:sz w:val="24"/>
          <w:szCs w:val="24"/>
        </w:rPr>
        <w:lastRenderedPageBreak/>
        <w:t>instagrammers</w:t>
      </w:r>
      <w:proofErr w:type="spellEnd"/>
      <w:r w:rsidR="00E02C7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viral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channel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twitter dan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r w:rsidR="00280166" w:rsidRPr="005779E5">
        <w:rPr>
          <w:rFonts w:ascii="Times New Roman" w:hAnsi="Times New Roman" w:cs="Times New Roman"/>
          <w:i/>
          <w:iCs/>
          <w:sz w:val="24"/>
          <w:szCs w:val="24"/>
        </w:rPr>
        <w:t>cyber security</w:t>
      </w:r>
      <w:r w:rsidR="00280166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r w:rsidR="00280166" w:rsidRPr="008E47B9">
        <w:rPr>
          <w:rFonts w:ascii="Times New Roman" w:hAnsi="Times New Roman" w:cs="Times New Roman"/>
          <w:i/>
          <w:iCs/>
          <w:sz w:val="24"/>
          <w:szCs w:val="24"/>
        </w:rPr>
        <w:t>fintech</w:t>
      </w:r>
      <w:r w:rsidR="00280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transnasional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r w:rsidR="00280166" w:rsidRPr="008E47B9">
        <w:rPr>
          <w:rFonts w:ascii="Times New Roman" w:hAnsi="Times New Roman" w:cs="Times New Roman"/>
          <w:i/>
          <w:iCs/>
          <w:sz w:val="24"/>
          <w:szCs w:val="24"/>
        </w:rPr>
        <w:t>big data</w:t>
      </w:r>
      <w:r w:rsidR="00280166">
        <w:rPr>
          <w:rFonts w:ascii="Times New Roman" w:hAnsi="Times New Roman" w:cs="Times New Roman"/>
          <w:sz w:val="24"/>
          <w:szCs w:val="24"/>
        </w:rPr>
        <w:t xml:space="preserve"> dan negara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penggunaanya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6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280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C0D3B" w14:textId="77777777" w:rsidR="00D70B7C" w:rsidRDefault="00D70B7C" w:rsidP="00D70B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E79381" w14:textId="4B77C995" w:rsidR="00D70B7C" w:rsidRDefault="00933A3F" w:rsidP="00D70B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A3F">
        <w:rPr>
          <w:rFonts w:ascii="Times New Roman" w:hAnsi="Times New Roman" w:cs="Times New Roman"/>
          <w:b/>
          <w:bCs/>
          <w:sz w:val="24"/>
          <w:szCs w:val="24"/>
        </w:rPr>
        <w:t>diplomasi</w:t>
      </w:r>
      <w:proofErr w:type="spellEnd"/>
      <w:r w:rsidRPr="00933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A3F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i/>
          <w:iCs/>
          <w:sz w:val="24"/>
          <w:szCs w:val="24"/>
        </w:rPr>
        <w:t>interfaith dialogue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i/>
          <w:iCs/>
          <w:sz w:val="24"/>
          <w:szCs w:val="24"/>
        </w:rPr>
        <w:t>civil 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MUI, NU, Muhammadiyah, KWI, PGI, WALUBI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Hindu.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b/>
          <w:bCs/>
          <w:sz w:val="24"/>
          <w:szCs w:val="24"/>
        </w:rPr>
        <w:t>BANGSA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b/>
          <w:bCs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B47F4" w14:textId="77777777" w:rsidR="008B111A" w:rsidRPr="008B111A" w:rsidRDefault="008B111A" w:rsidP="008B11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262DF0" w14:textId="3D238517" w:rsidR="00970083" w:rsidRPr="008B111A" w:rsidRDefault="008B111A" w:rsidP="008B11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9E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5779E5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="0057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r w:rsidR="005779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79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7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9E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7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9E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779E5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5779E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5779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urusan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negeri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UU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Negeri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37 </w:t>
      </w:r>
      <w:proofErr w:type="spellStart"/>
      <w:r w:rsidRPr="005779E5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5779E5">
        <w:rPr>
          <w:rFonts w:ascii="Times New Roman" w:hAnsi="Times New Roman" w:cs="Times New Roman"/>
          <w:b/>
          <w:bCs/>
          <w:sz w:val="24"/>
          <w:szCs w:val="24"/>
        </w:rPr>
        <w:t xml:space="preserve">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6E2A4" w14:textId="1C32E9B6" w:rsidR="005D6EA1" w:rsidRPr="00891C85" w:rsidRDefault="00EC4BF1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C85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Dosch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institusi-institusi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informal,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Aktor-aktor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non-negara,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9239E" w14:textId="17F59108" w:rsidR="005D6EA1" w:rsidRPr="00891C85" w:rsidRDefault="00EC4BF1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C85">
        <w:rPr>
          <w:rFonts w:ascii="Times New Roman" w:hAnsi="Times New Roman" w:cs="Times New Roman"/>
          <w:sz w:val="24"/>
          <w:szCs w:val="24"/>
        </w:rPr>
        <w:t xml:space="preserve">Dari badan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r w:rsidR="00D70B7C">
        <w:rPr>
          <w:rFonts w:ascii="Times New Roman" w:hAnsi="Times New Roman" w:cs="Times New Roman"/>
          <w:sz w:val="24"/>
          <w:szCs w:val="24"/>
        </w:rPr>
        <w:t>I</w:t>
      </w:r>
      <w:r w:rsidRPr="00891C85">
        <w:rPr>
          <w:rFonts w:ascii="Times New Roman" w:hAnsi="Times New Roman" w:cs="Times New Roman"/>
          <w:sz w:val="24"/>
          <w:szCs w:val="24"/>
        </w:rPr>
        <w:t xml:space="preserve"> DPR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r w:rsidR="00D70B7C">
        <w:rPr>
          <w:rFonts w:ascii="Times New Roman" w:hAnsi="Times New Roman" w:cs="Times New Roman"/>
          <w:sz w:val="24"/>
          <w:szCs w:val="24"/>
        </w:rPr>
        <w:t>I</w:t>
      </w:r>
      <w:r w:rsidRPr="00891C85">
        <w:rPr>
          <w:rFonts w:ascii="Times New Roman" w:hAnsi="Times New Roman" w:cs="Times New Roman"/>
          <w:sz w:val="24"/>
          <w:szCs w:val="24"/>
        </w:rPr>
        <w:t xml:space="preserve"> DPR, juga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(</w:t>
      </w:r>
      <w:r w:rsidRPr="00891C85">
        <w:rPr>
          <w:rFonts w:ascii="Times New Roman" w:hAnsi="Times New Roman" w:cs="Times New Roman"/>
          <w:i/>
          <w:iCs/>
          <w:sz w:val="24"/>
          <w:szCs w:val="24"/>
        </w:rPr>
        <w:t>fit and proper test</w:t>
      </w:r>
      <w:r w:rsidRPr="00891C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penunjukkan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Duta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</w:t>
      </w:r>
      <w:r w:rsidR="006026D7" w:rsidRPr="00891C85">
        <w:rPr>
          <w:rFonts w:ascii="Times New Roman" w:hAnsi="Times New Roman" w:cs="Times New Roman"/>
          <w:sz w:val="24"/>
          <w:szCs w:val="24"/>
        </w:rPr>
        <w:t>nyepakati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dan (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ratifikasi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026D7" w:rsidRPr="00891C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26D7" w:rsidRPr="00891C85">
        <w:rPr>
          <w:rFonts w:ascii="Times New Roman" w:hAnsi="Times New Roman" w:cs="Times New Roman"/>
          <w:sz w:val="24"/>
          <w:szCs w:val="24"/>
        </w:rPr>
        <w:t xml:space="preserve"> DPR. </w:t>
      </w:r>
    </w:p>
    <w:p w14:paraId="47BB859E" w14:textId="3EA9A5AE" w:rsidR="006026D7" w:rsidRPr="00891C85" w:rsidRDefault="006026D7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Jurgen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Ruland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epistemik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DPR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negerinya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r w:rsidRPr="00891C85">
        <w:rPr>
          <w:rFonts w:ascii="Times New Roman" w:hAnsi="Times New Roman" w:cs="Times New Roman"/>
          <w:i/>
          <w:iCs/>
          <w:sz w:val="24"/>
          <w:szCs w:val="24"/>
        </w:rPr>
        <w:t>bottom-up model</w:t>
      </w:r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>.</w:t>
      </w:r>
    </w:p>
    <w:p w14:paraId="0D45C8EC" w14:textId="388519A8" w:rsidR="006026D7" w:rsidRPr="00891C85" w:rsidRDefault="00AB45A8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Non</w:t>
      </w:r>
      <w:r w:rsidR="00E22422">
        <w:rPr>
          <w:rFonts w:ascii="Times New Roman" w:hAnsi="Times New Roman" w:cs="Times New Roman"/>
          <w:sz w:val="24"/>
          <w:szCs w:val="24"/>
        </w:rPr>
        <w:t>-</w:t>
      </w:r>
      <w:r w:rsidRPr="00891C85">
        <w:rPr>
          <w:rFonts w:ascii="Times New Roman" w:hAnsi="Times New Roman" w:cs="Times New Roman"/>
          <w:sz w:val="24"/>
          <w:szCs w:val="24"/>
        </w:rPr>
        <w:t xml:space="preserve">Governmental Organization (NGOs)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Muhammadiyah,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Israel, pada masa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Abdurrahman Wahid.</w:t>
      </w:r>
    </w:p>
    <w:p w14:paraId="1D519650" w14:textId="77777777" w:rsidR="00AB45A8" w:rsidRPr="00891C85" w:rsidRDefault="00AB45A8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C85">
        <w:rPr>
          <w:rFonts w:ascii="Times New Roman" w:hAnsi="Times New Roman" w:cs="Times New Roman"/>
          <w:sz w:val="24"/>
          <w:szCs w:val="24"/>
        </w:rPr>
        <w:lastRenderedPageBreak/>
        <w:t xml:space="preserve">Pada era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Susilo Bambang Yudhoyono, Indonesia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r w:rsidRPr="00A91583">
        <w:rPr>
          <w:rFonts w:ascii="Times New Roman" w:hAnsi="Times New Roman" w:cs="Times New Roman"/>
          <w:i/>
          <w:iCs/>
          <w:sz w:val="24"/>
          <w:szCs w:val="24"/>
        </w:rPr>
        <w:t>image</w:t>
      </w:r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PBB, Indonesia juga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r w:rsidRPr="006F2A74">
        <w:rPr>
          <w:rFonts w:ascii="Times New Roman" w:hAnsi="Times New Roman" w:cs="Times New Roman"/>
          <w:i/>
          <w:iCs/>
          <w:sz w:val="24"/>
          <w:szCs w:val="24"/>
        </w:rPr>
        <w:t>Human Rights Council</w:t>
      </w:r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di G-20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East Asia Summit (EAS).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Kahler (1997),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negeri.</w:t>
      </w:r>
    </w:p>
    <w:p w14:paraId="38475919" w14:textId="5CFF757E" w:rsidR="00AB45A8" w:rsidRDefault="002045B7" w:rsidP="007A5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Murphy (2005),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C85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891C85">
        <w:rPr>
          <w:rFonts w:ascii="Times New Roman" w:hAnsi="Times New Roman" w:cs="Times New Roman"/>
          <w:sz w:val="24"/>
          <w:szCs w:val="24"/>
        </w:rPr>
        <w:t>.</w:t>
      </w:r>
      <w:r w:rsidR="00AB45A8" w:rsidRPr="00891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BF4FA" w14:textId="7618DD54" w:rsidR="006F2A74" w:rsidRDefault="006F2A74" w:rsidP="006F2A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FA448" w14:textId="77777777" w:rsidR="003115A3" w:rsidRPr="003115A3" w:rsidRDefault="003115A3" w:rsidP="003115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E099D" w14:textId="77777777" w:rsidR="003115A3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Alles</w:t>
      </w:r>
      <w:proofErr w:type="spellEnd"/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D. (2015). </w:t>
      </w:r>
      <w:r w:rsidRPr="003115A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Transnational Islamic Actors and Indonesia's Foreign Policy</w:t>
      </w: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Taylor and Francis.</w:t>
      </w:r>
    </w:p>
    <w:p w14:paraId="5DD3B35C" w14:textId="77777777" w:rsidR="003115A3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sz w:val="24"/>
          <w:szCs w:val="24"/>
        </w:rPr>
        <w:t>Dosch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5A3">
        <w:rPr>
          <w:rFonts w:ascii="Times New Roman" w:hAnsi="Times New Roman" w:cs="Times New Roman"/>
          <w:sz w:val="24"/>
          <w:szCs w:val="24"/>
        </w:rPr>
        <w:t>Jörn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>. (2006</w:t>
      </w:r>
      <w:proofErr w:type="gramStart"/>
      <w:r w:rsidRPr="003115A3">
        <w:rPr>
          <w:rFonts w:ascii="Times New Roman" w:hAnsi="Times New Roman" w:cs="Times New Roman"/>
          <w:sz w:val="24"/>
          <w:szCs w:val="24"/>
        </w:rPr>
        <w:t>).The</w:t>
      </w:r>
      <w:proofErr w:type="gramEnd"/>
      <w:r w:rsidRPr="003115A3">
        <w:rPr>
          <w:rFonts w:ascii="Times New Roman" w:hAnsi="Times New Roman" w:cs="Times New Roman"/>
          <w:sz w:val="24"/>
          <w:szCs w:val="24"/>
        </w:rPr>
        <w:t xml:space="preserve"> Impact of Democratisation on the Making of Foreign Policy in Indonesia, Thailand, and the Philippines, </w:t>
      </w:r>
      <w:proofErr w:type="spellStart"/>
      <w:r w:rsidRPr="003115A3">
        <w:rPr>
          <w:rFonts w:ascii="Times New Roman" w:hAnsi="Times New Roman" w:cs="Times New Roman"/>
          <w:i/>
          <w:iCs/>
          <w:sz w:val="24"/>
          <w:szCs w:val="24"/>
        </w:rPr>
        <w:t>Südostasien</w:t>
      </w:r>
      <w:proofErr w:type="spellEnd"/>
      <w:r w:rsidRPr="00311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15A3">
        <w:rPr>
          <w:rFonts w:ascii="Times New Roman" w:hAnsi="Times New Roman" w:cs="Times New Roman"/>
          <w:i/>
          <w:iCs/>
          <w:sz w:val="24"/>
          <w:szCs w:val="24"/>
        </w:rPr>
        <w:t>aktuell</w:t>
      </w:r>
      <w:proofErr w:type="spellEnd"/>
      <w:r w:rsidRPr="003115A3">
        <w:rPr>
          <w:rFonts w:ascii="Times New Roman" w:hAnsi="Times New Roman" w:cs="Times New Roman"/>
          <w:sz w:val="24"/>
          <w:szCs w:val="24"/>
        </w:rPr>
        <w:t>, 5, pp.42-70</w:t>
      </w:r>
    </w:p>
    <w:p w14:paraId="1D94BCC5" w14:textId="77777777" w:rsidR="003115A3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A3">
        <w:rPr>
          <w:rFonts w:ascii="Times New Roman" w:hAnsi="Times New Roman" w:cs="Times New Roman"/>
          <w:sz w:val="24"/>
          <w:szCs w:val="24"/>
        </w:rPr>
        <w:t xml:space="preserve">Kahler, M. (1997). </w:t>
      </w:r>
      <w:r w:rsidRPr="003115A3">
        <w:rPr>
          <w:rFonts w:ascii="Times New Roman" w:hAnsi="Times New Roman" w:cs="Times New Roman"/>
          <w:i/>
          <w:iCs/>
          <w:sz w:val="24"/>
          <w:szCs w:val="24"/>
        </w:rPr>
        <w:t>Introduction: Liberalization and Foreign Policy in Liberalization and Foreign Policy</w:t>
      </w:r>
      <w:r w:rsidRPr="003115A3">
        <w:rPr>
          <w:rFonts w:ascii="Times New Roman" w:hAnsi="Times New Roman" w:cs="Times New Roman"/>
          <w:sz w:val="24"/>
          <w:szCs w:val="24"/>
        </w:rPr>
        <w:t>. New York: Columbia University Press.</w:t>
      </w:r>
    </w:p>
    <w:p w14:paraId="6E1A9E11" w14:textId="77777777" w:rsidR="003115A3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Murphy, A. (2012). Democratization and Indonesian Foreign Policy: Implications for the United States. </w:t>
      </w:r>
      <w:r w:rsidRPr="003115A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Asia Policy</w:t>
      </w: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13(1), pp.83-111.</w:t>
      </w:r>
    </w:p>
    <w:p w14:paraId="23E627A5" w14:textId="77777777" w:rsidR="003115A3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Putnam, R. (1988). Diplomacy and domestic politics: the logic of two-level games. </w:t>
      </w:r>
      <w:r w:rsidRPr="003115A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Organization</w:t>
      </w: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42(3), pp.427-460.</w:t>
      </w:r>
    </w:p>
    <w:p w14:paraId="6F390E3C" w14:textId="59D6E398" w:rsidR="006F2A74" w:rsidRPr="003115A3" w:rsidRDefault="003115A3" w:rsidP="0031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Ruland</w:t>
      </w:r>
      <w:proofErr w:type="spellEnd"/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J. (2009). Deepening ASEAN cooperation through democratization? The Indonesian legislature and foreign policymaking. </w:t>
      </w:r>
      <w:r w:rsidRPr="003115A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Relations of the Asia-Pacific</w:t>
      </w:r>
      <w:r w:rsidRPr="0031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9(3), pp.373-402.</w:t>
      </w:r>
    </w:p>
    <w:p w14:paraId="1BBD6BB7" w14:textId="77777777" w:rsidR="006F2A74" w:rsidRPr="006F2A74" w:rsidRDefault="006F2A74" w:rsidP="006F2A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894B6" w14:textId="77777777" w:rsidR="00161794" w:rsidRPr="00891C85" w:rsidRDefault="00161794">
      <w:pPr>
        <w:rPr>
          <w:rFonts w:ascii="Times New Roman" w:hAnsi="Times New Roman" w:cs="Times New Roman"/>
          <w:sz w:val="24"/>
          <w:szCs w:val="24"/>
        </w:rPr>
      </w:pPr>
    </w:p>
    <w:sectPr w:rsidR="00161794" w:rsidRPr="00891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249"/>
    <w:multiLevelType w:val="hybridMultilevel"/>
    <w:tmpl w:val="73E0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442"/>
    <w:multiLevelType w:val="hybridMultilevel"/>
    <w:tmpl w:val="CA4AF0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7174"/>
    <w:multiLevelType w:val="hybridMultilevel"/>
    <w:tmpl w:val="990830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6476"/>
    <w:multiLevelType w:val="hybridMultilevel"/>
    <w:tmpl w:val="176E51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94"/>
    <w:rsid w:val="00161794"/>
    <w:rsid w:val="002045B7"/>
    <w:rsid w:val="00280166"/>
    <w:rsid w:val="003115A3"/>
    <w:rsid w:val="003E6CF6"/>
    <w:rsid w:val="005779E5"/>
    <w:rsid w:val="005A4E74"/>
    <w:rsid w:val="005D6EA1"/>
    <w:rsid w:val="006026D7"/>
    <w:rsid w:val="006F2A74"/>
    <w:rsid w:val="007A5011"/>
    <w:rsid w:val="00891C85"/>
    <w:rsid w:val="008B111A"/>
    <w:rsid w:val="008C4E7C"/>
    <w:rsid w:val="008E47B9"/>
    <w:rsid w:val="00933A3F"/>
    <w:rsid w:val="00970083"/>
    <w:rsid w:val="00A91583"/>
    <w:rsid w:val="00AB45A8"/>
    <w:rsid w:val="00D70B7C"/>
    <w:rsid w:val="00DF1E13"/>
    <w:rsid w:val="00E02C7B"/>
    <w:rsid w:val="00E22422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7B42"/>
  <w15:chartTrackingRefBased/>
  <w15:docId w15:val="{54151BED-2B88-4611-9972-1DF9F08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1204E8-FA20-4241-90E4-8A00CB5E00B0}"/>
</file>

<file path=customXml/itemProps2.xml><?xml version="1.0" encoding="utf-8"?>
<ds:datastoreItem xmlns:ds="http://schemas.openxmlformats.org/officeDocument/2006/customXml" ds:itemID="{09EDA76D-45D6-4EBC-AEBE-4FC114236932}"/>
</file>

<file path=customXml/itemProps3.xml><?xml version="1.0" encoding="utf-8"?>
<ds:datastoreItem xmlns:ds="http://schemas.openxmlformats.org/officeDocument/2006/customXml" ds:itemID="{633BBCA8-591C-43C2-94D7-6DF1B7C6C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Ihsan</dc:creator>
  <cp:keywords/>
  <dc:description/>
  <cp:lastModifiedBy>Aleksius Jemadu</cp:lastModifiedBy>
  <cp:revision>5</cp:revision>
  <dcterms:created xsi:type="dcterms:W3CDTF">2019-08-01T02:37:00Z</dcterms:created>
  <dcterms:modified xsi:type="dcterms:W3CDTF">2019-08-11T13:16:00Z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342200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