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F0EA" w14:textId="1A851401" w:rsidR="00156F1E" w:rsidRPr="005B3DFD" w:rsidRDefault="00F13C12" w:rsidP="00F13C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Dari </w:t>
      </w:r>
      <w:proofErr w:type="spellStart"/>
      <w:r w:rsidRPr="005B3DFD">
        <w:rPr>
          <w:rFonts w:ascii="Times New Roman" w:hAnsi="Times New Roman" w:cs="Times New Roman"/>
          <w:b/>
          <w:bCs/>
          <w:sz w:val="24"/>
          <w:szCs w:val="24"/>
        </w:rPr>
        <w:t>Kebijakan</w:t>
      </w:r>
      <w:proofErr w:type="spellEnd"/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3DFD">
        <w:rPr>
          <w:rFonts w:ascii="Times New Roman" w:hAnsi="Times New Roman" w:cs="Times New Roman"/>
          <w:b/>
          <w:bCs/>
          <w:sz w:val="24"/>
          <w:szCs w:val="24"/>
        </w:rPr>
        <w:t>Luar</w:t>
      </w:r>
      <w:proofErr w:type="spellEnd"/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 Negeri </w:t>
      </w:r>
      <w:proofErr w:type="spellStart"/>
      <w:r w:rsidRPr="005B3DFD">
        <w:rPr>
          <w:rFonts w:ascii="Times New Roman" w:hAnsi="Times New Roman" w:cs="Times New Roman"/>
          <w:b/>
          <w:bCs/>
          <w:sz w:val="24"/>
          <w:szCs w:val="24"/>
        </w:rPr>
        <w:t>Menuju</w:t>
      </w:r>
      <w:proofErr w:type="spellEnd"/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 Tata </w:t>
      </w:r>
      <w:proofErr w:type="spellStart"/>
      <w:r w:rsidRPr="005B3DFD">
        <w:rPr>
          <w:rFonts w:ascii="Times New Roman" w:hAnsi="Times New Roman" w:cs="Times New Roman"/>
          <w:b/>
          <w:bCs/>
          <w:sz w:val="24"/>
          <w:szCs w:val="24"/>
        </w:rPr>
        <w:t>Kelola</w:t>
      </w:r>
      <w:proofErr w:type="spellEnd"/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3DFD"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3DFD">
        <w:rPr>
          <w:rFonts w:ascii="Times New Roman" w:hAnsi="Times New Roman" w:cs="Times New Roman"/>
          <w:b/>
          <w:bCs/>
          <w:sz w:val="24"/>
          <w:szCs w:val="24"/>
        </w:rPr>
        <w:t>Luar</w:t>
      </w:r>
      <w:proofErr w:type="spellEnd"/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 Negeri (</w:t>
      </w:r>
      <w:r w:rsidRPr="005B3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Managing Foreign Relations</w:t>
      </w:r>
      <w:r w:rsidRPr="005B3DFD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7E5D30B8" w14:textId="5822F230" w:rsidR="00874772" w:rsidRDefault="00874772" w:rsidP="00F13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1F247" w14:textId="4351822C" w:rsidR="00874772" w:rsidRDefault="00CB2BA1" w:rsidP="00874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 w:rsidR="0087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772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8747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47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87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77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7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77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74772">
        <w:rPr>
          <w:rFonts w:ascii="Times New Roman" w:hAnsi="Times New Roman" w:cs="Times New Roman"/>
          <w:sz w:val="24"/>
          <w:szCs w:val="24"/>
        </w:rPr>
        <w:t xml:space="preserve"> negeri RI</w:t>
      </w:r>
    </w:p>
    <w:p w14:paraId="3B9225E9" w14:textId="5F5B4304" w:rsidR="00874772" w:rsidRDefault="005B3DFD" w:rsidP="0087477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3DFD">
        <w:rPr>
          <w:rFonts w:ascii="Times New Roman" w:hAnsi="Times New Roman" w:cs="Times New Roman"/>
          <w:i/>
          <w:iCs/>
          <w:sz w:val="24"/>
          <w:szCs w:val="24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3F6E">
        <w:rPr>
          <w:rFonts w:ascii="Times New Roman" w:hAnsi="Times New Roman" w:cs="Times New Roman"/>
          <w:sz w:val="24"/>
          <w:szCs w:val="24"/>
        </w:rPr>
        <w:t xml:space="preserve"> PARADOKS ANTARA KETERBUKAAN EKONOMI DAN KORUPSI, KOLUSI DAN NEPOTISME (KKN) DALAM NEGERI YANG MERAJALELA.</w:t>
      </w:r>
    </w:p>
    <w:p w14:paraId="6A8DA55B" w14:textId="539FD6D8" w:rsidR="005B3DFD" w:rsidRDefault="00CB2BA1" w:rsidP="0087477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6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China.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Jokowi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negara-negara ASEAN yang lain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r w:rsidR="009076B8" w:rsidRPr="009076B8">
        <w:rPr>
          <w:rFonts w:ascii="Times New Roman" w:hAnsi="Times New Roman" w:cs="Times New Roman"/>
          <w:i/>
          <w:iCs/>
          <w:sz w:val="24"/>
          <w:szCs w:val="24"/>
        </w:rPr>
        <w:t>engagement</w:t>
      </w:r>
      <w:r w:rsidR="0090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076B8">
        <w:rPr>
          <w:rFonts w:ascii="Times New Roman" w:hAnsi="Times New Roman" w:cs="Times New Roman"/>
          <w:sz w:val="24"/>
          <w:szCs w:val="24"/>
        </w:rPr>
        <w:t xml:space="preserve"> di ASEAN.</w:t>
      </w:r>
      <w:r w:rsidR="00DB3F6E">
        <w:rPr>
          <w:rFonts w:ascii="Times New Roman" w:hAnsi="Times New Roman" w:cs="Times New Roman"/>
          <w:sz w:val="24"/>
          <w:szCs w:val="24"/>
        </w:rPr>
        <w:t xml:space="preserve"> PARADOKS ANTARA UKURAN EKONOMI, WILAYAH DAN PENDUDUK TERBESAR DAN KETERTINGGALAN DALAM PERDAGANGAN INTERNASIONAL DIBANDINGKAN DENGAN ANGGOTA ASEAN YANG LAIN.</w:t>
      </w:r>
    </w:p>
    <w:p w14:paraId="7EB200B3" w14:textId="0B6470EB" w:rsidR="009076B8" w:rsidRDefault="008B6A42" w:rsidP="0087477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Tenggara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HAM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79">
        <w:rPr>
          <w:rFonts w:ascii="Times New Roman" w:hAnsi="Times New Roman" w:cs="Times New Roman"/>
          <w:i/>
          <w:iCs/>
          <w:sz w:val="24"/>
          <w:szCs w:val="24"/>
        </w:rPr>
        <w:t>civil society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r w:rsidRPr="000C5C79">
        <w:rPr>
          <w:rFonts w:ascii="Times New Roman" w:hAnsi="Times New Roman" w:cs="Times New Roman"/>
          <w:i/>
          <w:iCs/>
          <w:sz w:val="24"/>
          <w:szCs w:val="24"/>
        </w:rPr>
        <w:t>Civil society</w:t>
      </w:r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transnational </w:t>
      </w:r>
      <w:r w:rsidRPr="008B6A42">
        <w:rPr>
          <w:rFonts w:ascii="Times New Roman" w:hAnsi="Times New Roman" w:cs="Times New Roman"/>
          <w:i/>
          <w:iCs/>
          <w:sz w:val="24"/>
          <w:szCs w:val="24"/>
        </w:rPr>
        <w:t>civil society networks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spirit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Charter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r w:rsidR="006C0BE1" w:rsidRPr="000C5C79">
        <w:rPr>
          <w:rFonts w:ascii="Times New Roman" w:hAnsi="Times New Roman" w:cs="Times New Roman"/>
          <w:i/>
          <w:iCs/>
          <w:sz w:val="24"/>
          <w:szCs w:val="24"/>
        </w:rPr>
        <w:t>non-interference</w:t>
      </w:r>
      <w:r w:rsidR="006C0B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kekuatan-kekuatan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dan HAM di ASEAN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terakomodasi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kepentingannya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6C0BE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6C0BE1">
        <w:rPr>
          <w:rFonts w:ascii="Times New Roman" w:hAnsi="Times New Roman" w:cs="Times New Roman"/>
          <w:sz w:val="24"/>
          <w:szCs w:val="24"/>
        </w:rPr>
        <w:t xml:space="preserve">. </w:t>
      </w:r>
      <w:r w:rsidR="0011223B">
        <w:rPr>
          <w:rFonts w:ascii="Times New Roman" w:hAnsi="Times New Roman" w:cs="Times New Roman"/>
          <w:sz w:val="24"/>
          <w:szCs w:val="24"/>
        </w:rPr>
        <w:t>PARADOKS NEGARA DEMOKRASI HARUS MEMIMPIN ORGANISASI REGIONAL YANG MENGHALANGI DEMOKRASI (CIVIL SOCIETY)</w:t>
      </w:r>
    </w:p>
    <w:p w14:paraId="72190875" w14:textId="0536884E" w:rsidR="0066368A" w:rsidRDefault="0066368A" w:rsidP="0087477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kebergantungan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negara lain untuk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(</w:t>
      </w:r>
      <w:r w:rsidR="00E1286C" w:rsidRPr="00E1286C">
        <w:rPr>
          <w:rFonts w:ascii="Times New Roman" w:hAnsi="Times New Roman" w:cs="Times New Roman"/>
          <w:i/>
          <w:iCs/>
          <w:sz w:val="24"/>
          <w:szCs w:val="24"/>
        </w:rPr>
        <w:t>vulnerability</w:t>
      </w:r>
      <w:r w:rsidR="00E128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6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E1286C">
        <w:rPr>
          <w:rFonts w:ascii="Times New Roman" w:hAnsi="Times New Roman" w:cs="Times New Roman"/>
          <w:sz w:val="24"/>
          <w:szCs w:val="24"/>
        </w:rPr>
        <w:t xml:space="preserve">. </w:t>
      </w:r>
      <w:r w:rsidR="0011223B">
        <w:rPr>
          <w:rFonts w:ascii="Times New Roman" w:hAnsi="Times New Roman" w:cs="Times New Roman"/>
          <w:sz w:val="24"/>
          <w:szCs w:val="24"/>
        </w:rPr>
        <w:t xml:space="preserve">PARADOKS POTENSI DALAM NEGERI YANG TINGGI </w:t>
      </w:r>
      <w:r w:rsidR="00D3118E">
        <w:rPr>
          <w:rFonts w:ascii="Times New Roman" w:hAnsi="Times New Roman" w:cs="Times New Roman"/>
          <w:sz w:val="24"/>
          <w:szCs w:val="24"/>
        </w:rPr>
        <w:t>DAN KETERGANTUNGAN INTERNASIONAL YANG TINGGI PULA</w:t>
      </w:r>
    </w:p>
    <w:p w14:paraId="2E748FD3" w14:textId="2327BBBE" w:rsidR="00D2659C" w:rsidRDefault="00AD73F6" w:rsidP="009765E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alutsista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2AB">
        <w:rPr>
          <w:rFonts w:ascii="Times New Roman" w:hAnsi="Times New Roman" w:cs="Times New Roman"/>
          <w:sz w:val="24"/>
          <w:szCs w:val="24"/>
        </w:rPr>
        <w:t>PARADOKS NEGARA MARITIM DAN KEAMANAN MARITIM YANG SANGAT RENTAN TERHADAP ANCAMAN KEAMANAN NON-TRADISIONAL SEPERTI ILL</w:t>
      </w:r>
      <w:r w:rsidR="00D2659C">
        <w:rPr>
          <w:rFonts w:ascii="Times New Roman" w:hAnsi="Times New Roman" w:cs="Times New Roman"/>
          <w:sz w:val="24"/>
          <w:szCs w:val="24"/>
        </w:rPr>
        <w:t>E</w:t>
      </w:r>
      <w:r w:rsidR="006712AB">
        <w:rPr>
          <w:rFonts w:ascii="Times New Roman" w:hAnsi="Times New Roman" w:cs="Times New Roman"/>
          <w:sz w:val="24"/>
          <w:szCs w:val="24"/>
        </w:rPr>
        <w:t>GAL FISHING, PIRACY, DRUGS SMUGGLING AND TERRORISM.</w:t>
      </w:r>
    </w:p>
    <w:p w14:paraId="465A3BF1" w14:textId="489CBEDF" w:rsidR="009765E9" w:rsidRDefault="009765E9" w:rsidP="009765E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dan Fintech,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1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1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085C10">
        <w:rPr>
          <w:rFonts w:ascii="Times New Roman" w:hAnsi="Times New Roman" w:cs="Times New Roman"/>
          <w:sz w:val="24"/>
          <w:szCs w:val="24"/>
        </w:rPr>
        <w:t xml:space="preserve"> negara. PARADOKS KEDAULTAN NEGARA DAN KONTROL ATAS WARGA NEGARA OLEH KEKUATAN EKONOMI DAN TEKNOLOGI EKSTERNAL.</w:t>
      </w:r>
    </w:p>
    <w:p w14:paraId="40535E2F" w14:textId="2E6A6D2E" w:rsidR="00AA6803" w:rsidRPr="009765E9" w:rsidRDefault="00AA6803" w:rsidP="009765E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506">
        <w:rPr>
          <w:rFonts w:ascii="Times New Roman" w:hAnsi="Times New Roman" w:cs="Times New Roman"/>
          <w:i/>
          <w:iCs/>
          <w:sz w:val="24"/>
          <w:szCs w:val="24"/>
        </w:rPr>
        <w:t>the cornerstone of foreign policy</w:t>
      </w:r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ironinya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kesekretariatan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koordinatif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substantive yang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memungkin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506" w:rsidRPr="002F7506">
        <w:rPr>
          <w:rFonts w:ascii="Times New Roman" w:hAnsi="Times New Roman" w:cs="Times New Roman"/>
          <w:i/>
          <w:iCs/>
          <w:sz w:val="24"/>
          <w:szCs w:val="24"/>
        </w:rPr>
        <w:t>in its own right</w:t>
      </w:r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regional.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0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>. P</w:t>
      </w:r>
      <w:r w:rsidR="003F2C2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USD (untuk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1000 </w:t>
      </w:r>
      <w:r w:rsidR="003F2C2B" w:rsidRPr="00397E00">
        <w:rPr>
          <w:rFonts w:ascii="Times New Roman" w:hAnsi="Times New Roman" w:cs="Times New Roman"/>
          <w:i/>
          <w:iCs/>
          <w:sz w:val="24"/>
          <w:szCs w:val="24"/>
        </w:rPr>
        <w:t>meetings</w:t>
      </w:r>
      <w:r w:rsidR="003F2C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Uni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="003F2C2B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3F2C2B">
        <w:rPr>
          <w:rFonts w:ascii="Times New Roman" w:hAnsi="Times New Roman" w:cs="Times New Roman"/>
          <w:sz w:val="24"/>
          <w:szCs w:val="24"/>
        </w:rPr>
        <w:t xml:space="preserve"> USD (</w:t>
      </w:r>
      <w:r w:rsidR="003F2C2B" w:rsidRPr="003D3E17">
        <w:rPr>
          <w:rFonts w:ascii="Times New Roman" w:hAnsi="Times New Roman" w:cs="Times New Roman"/>
          <w:i/>
          <w:iCs/>
          <w:sz w:val="24"/>
          <w:szCs w:val="24"/>
        </w:rPr>
        <w:t>The Jakarta Post</w:t>
      </w:r>
      <w:r w:rsidR="003F2C2B">
        <w:rPr>
          <w:rFonts w:ascii="Times New Roman" w:hAnsi="Times New Roman" w:cs="Times New Roman"/>
          <w:sz w:val="24"/>
          <w:szCs w:val="24"/>
        </w:rPr>
        <w:t>, November 25, 2017).</w:t>
      </w:r>
      <w:r w:rsidR="002F7506">
        <w:rPr>
          <w:rFonts w:ascii="Times New Roman" w:hAnsi="Times New Roman" w:cs="Times New Roman"/>
          <w:sz w:val="24"/>
          <w:szCs w:val="24"/>
        </w:rPr>
        <w:t xml:space="preserve"> </w:t>
      </w:r>
      <w:r w:rsidR="003F2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269C0" w14:textId="1B4CF851" w:rsidR="000C5C79" w:rsidRDefault="0066368A" w:rsidP="006636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RI?</w:t>
      </w:r>
    </w:p>
    <w:p w14:paraId="72DEF664" w14:textId="220403FC" w:rsidR="0066368A" w:rsidRDefault="005522F8" w:rsidP="006636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non-negara.</w:t>
      </w:r>
    </w:p>
    <w:p w14:paraId="044818D6" w14:textId="77F4BF39" w:rsidR="005522F8" w:rsidRDefault="005522F8" w:rsidP="006636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dan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negeri.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. Tata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negeri (</w:t>
      </w:r>
      <w:r w:rsidR="001B6ECF" w:rsidRPr="00257B74">
        <w:rPr>
          <w:rFonts w:ascii="Times New Roman" w:hAnsi="Times New Roman" w:cs="Times New Roman"/>
          <w:i/>
          <w:iCs/>
          <w:sz w:val="24"/>
          <w:szCs w:val="24"/>
        </w:rPr>
        <w:t>managing foreign relations</w:t>
      </w:r>
      <w:r w:rsidR="001B6E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892404"/>
      <w:proofErr w:type="spellStart"/>
      <w:r w:rsidR="001B6ECF">
        <w:rPr>
          <w:rFonts w:ascii="Times New Roman" w:hAnsi="Times New Roman" w:cs="Times New Roman"/>
          <w:sz w:val="24"/>
          <w:szCs w:val="24"/>
        </w:rPr>
        <w:t>keterpaduan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r w:rsidR="001B6ECF" w:rsidRPr="001B6ECF">
        <w:rPr>
          <w:rFonts w:ascii="Times New Roman" w:hAnsi="Times New Roman" w:cs="Times New Roman"/>
          <w:i/>
          <w:iCs/>
          <w:sz w:val="24"/>
          <w:szCs w:val="24"/>
        </w:rPr>
        <w:t xml:space="preserve">recognized </w:t>
      </w:r>
      <w:proofErr w:type="spellStart"/>
      <w:r w:rsidR="001B6ECF" w:rsidRPr="001B6ECF">
        <w:rPr>
          <w:rFonts w:ascii="Times New Roman" w:hAnsi="Times New Roman" w:cs="Times New Roman"/>
          <w:i/>
          <w:iCs/>
          <w:sz w:val="24"/>
          <w:szCs w:val="24"/>
        </w:rPr>
        <w:t>interdendence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r w:rsidR="00257B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7B7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25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7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25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7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5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7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25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74"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 w:rsidR="00257B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lastRenderedPageBreak/>
        <w:t>antar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negeri di mana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menegasikan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yang lain (</w:t>
      </w:r>
      <w:r w:rsidR="001B6ECF" w:rsidRPr="001B6ECF">
        <w:rPr>
          <w:rFonts w:ascii="Times New Roman" w:hAnsi="Times New Roman" w:cs="Times New Roman"/>
          <w:i/>
          <w:iCs/>
          <w:sz w:val="24"/>
          <w:szCs w:val="24"/>
        </w:rPr>
        <w:t>mutual nullification</w:t>
      </w:r>
      <w:r w:rsidR="001B6E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CF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1B6EC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556A502" w14:textId="3CDED97B" w:rsidR="005522F8" w:rsidRDefault="004D4A5F" w:rsidP="006636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menyerukan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Menko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Polhukam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optimal dan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2FB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4D2FB2">
        <w:rPr>
          <w:rFonts w:ascii="Times New Roman" w:hAnsi="Times New Roman" w:cs="Times New Roman"/>
          <w:sz w:val="24"/>
          <w:szCs w:val="24"/>
        </w:rPr>
        <w:t xml:space="preserve">. </w:t>
      </w:r>
      <w:r w:rsidR="00B91B47">
        <w:rPr>
          <w:rFonts w:ascii="Times New Roman" w:hAnsi="Times New Roman" w:cs="Times New Roman"/>
          <w:sz w:val="24"/>
          <w:szCs w:val="24"/>
        </w:rPr>
        <w:t xml:space="preserve">DIPERLUKAN PERUBAHAN PARADIGMA DARI KEBIJAKAN LUAR NEGERI MENUJU TATA KELOLA HUBUNGAN LUAR NEGERI. Kementerian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r w:rsidR="00B91B47" w:rsidRPr="00B91B47">
        <w:rPr>
          <w:rFonts w:ascii="Times New Roman" w:hAnsi="Times New Roman" w:cs="Times New Roman"/>
          <w:i/>
          <w:iCs/>
          <w:sz w:val="24"/>
          <w:szCs w:val="24"/>
        </w:rPr>
        <w:t>total diplomacy</w:t>
      </w:r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seruan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4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B91B47">
        <w:rPr>
          <w:rFonts w:ascii="Times New Roman" w:hAnsi="Times New Roman" w:cs="Times New Roman"/>
          <w:sz w:val="24"/>
          <w:szCs w:val="24"/>
        </w:rPr>
        <w:t>.</w:t>
      </w:r>
    </w:p>
    <w:p w14:paraId="005EBB0B" w14:textId="252AE137" w:rsidR="00B91B47" w:rsidRDefault="00B91B47" w:rsidP="006636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pro-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membumi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r w:rsidRPr="00B91B47">
        <w:rPr>
          <w:rFonts w:ascii="Times New Roman" w:hAnsi="Times New Roman" w:cs="Times New Roman"/>
          <w:i/>
          <w:iCs/>
          <w:sz w:val="24"/>
          <w:szCs w:val="24"/>
        </w:rPr>
        <w:t>down to earth foreign policy</w:t>
      </w:r>
      <w:r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F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E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4E6">
        <w:rPr>
          <w:rFonts w:ascii="Times New Roman" w:hAnsi="Times New Roman" w:cs="Times New Roman"/>
          <w:sz w:val="24"/>
          <w:szCs w:val="24"/>
        </w:rPr>
        <w:t xml:space="preserve">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aga</w:t>
      </w:r>
      <w:r w:rsidR="004D4A5F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EB978" w14:textId="5DB2B8A5" w:rsidR="00B90C89" w:rsidRDefault="00051B43" w:rsidP="006636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5AE7783D" w14:textId="71B0A376" w:rsidR="00C25AF8" w:rsidRDefault="00C25AF8" w:rsidP="00C25A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AF8">
        <w:rPr>
          <w:rFonts w:ascii="Times New Roman" w:hAnsi="Times New Roman" w:cs="Times New Roman"/>
          <w:i/>
          <w:iCs/>
          <w:sz w:val="24"/>
          <w:szCs w:val="24"/>
        </w:rPr>
        <w:t>Best practices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lain</w:t>
      </w:r>
    </w:p>
    <w:p w14:paraId="207BD1B2" w14:textId="3C8E37C3" w:rsidR="00C25AF8" w:rsidRDefault="00C25AF8" w:rsidP="00C25AF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355">
        <w:rPr>
          <w:rFonts w:ascii="Times New Roman" w:hAnsi="Times New Roman" w:cs="Times New Roman"/>
          <w:i/>
          <w:iCs/>
          <w:sz w:val="24"/>
          <w:szCs w:val="24"/>
        </w:rPr>
        <w:t>Ministry of International Trade and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pasca-Perang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Dunia II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Asia Tenggara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(trade), </w:t>
      </w:r>
      <w:r w:rsidR="00602355" w:rsidRPr="00602355">
        <w:rPr>
          <w:rFonts w:ascii="Times New Roman" w:hAnsi="Times New Roman" w:cs="Times New Roman"/>
          <w:i/>
          <w:iCs/>
          <w:sz w:val="24"/>
          <w:szCs w:val="24"/>
        </w:rPr>
        <w:t>Foreign Direct Investment</w:t>
      </w:r>
      <w:r w:rsidR="00602355">
        <w:rPr>
          <w:rFonts w:ascii="Times New Roman" w:hAnsi="Times New Roman" w:cs="Times New Roman"/>
          <w:sz w:val="24"/>
          <w:szCs w:val="24"/>
        </w:rPr>
        <w:t xml:space="preserve"> (FDI) dan </w:t>
      </w:r>
      <w:r w:rsidR="00602355" w:rsidRPr="00602355">
        <w:rPr>
          <w:rFonts w:ascii="Times New Roman" w:hAnsi="Times New Roman" w:cs="Times New Roman"/>
          <w:i/>
          <w:iCs/>
          <w:sz w:val="24"/>
          <w:szCs w:val="24"/>
        </w:rPr>
        <w:t>Official Development Assistance</w:t>
      </w:r>
      <w:r w:rsidR="00602355">
        <w:rPr>
          <w:rFonts w:ascii="Times New Roman" w:hAnsi="Times New Roman" w:cs="Times New Roman"/>
          <w:sz w:val="24"/>
          <w:szCs w:val="24"/>
        </w:rPr>
        <w:t xml:space="preserve"> (ODA). </w:t>
      </w:r>
      <w:r w:rsidR="00181A51">
        <w:rPr>
          <w:rFonts w:ascii="Times New Roman" w:hAnsi="Times New Roman" w:cs="Times New Roman"/>
          <w:sz w:val="24"/>
          <w:szCs w:val="24"/>
        </w:rPr>
        <w:t xml:space="preserve">Point yang paling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negeri.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negara-negara di Asia Tenggara juga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otomotifnya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kehancuran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Dunia II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mengantar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AS pada </w:t>
      </w:r>
      <w:proofErr w:type="spellStart"/>
      <w:r w:rsidR="006023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02355">
        <w:rPr>
          <w:rFonts w:ascii="Times New Roman" w:hAnsi="Times New Roman" w:cs="Times New Roman"/>
          <w:sz w:val="24"/>
          <w:szCs w:val="24"/>
        </w:rPr>
        <w:t xml:space="preserve"> 1980an. </w:t>
      </w:r>
    </w:p>
    <w:p w14:paraId="5B077AFB" w14:textId="4CC1291A" w:rsidR="00602355" w:rsidRDefault="0038183A" w:rsidP="00C25AF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Korea Selatan dan </w:t>
      </w:r>
      <w:r w:rsidRPr="00871293">
        <w:rPr>
          <w:rFonts w:ascii="Times New Roman" w:hAnsi="Times New Roman" w:cs="Times New Roman"/>
          <w:i/>
          <w:iCs/>
          <w:sz w:val="24"/>
          <w:szCs w:val="24"/>
        </w:rPr>
        <w:t>Newly Industrializing Economies</w:t>
      </w:r>
      <w:r>
        <w:rPr>
          <w:rFonts w:ascii="Times New Roman" w:hAnsi="Times New Roman" w:cs="Times New Roman"/>
          <w:sz w:val="24"/>
          <w:szCs w:val="24"/>
        </w:rPr>
        <w:t xml:space="preserve"> (NIEs)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Singapura, Taiwan dan Hongkong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negeri </w:t>
      </w:r>
      <w:r w:rsidR="00871293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mefasilitas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statusnya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negara miskin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71293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71293">
        <w:rPr>
          <w:rFonts w:ascii="Times New Roman" w:hAnsi="Times New Roman" w:cs="Times New Roman"/>
          <w:sz w:val="24"/>
          <w:szCs w:val="24"/>
        </w:rPr>
        <w:t>.</w:t>
      </w:r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. </w:t>
      </w:r>
      <w:r w:rsidR="00181A51" w:rsidRPr="00181A51">
        <w:rPr>
          <w:rFonts w:ascii="Times New Roman" w:hAnsi="Times New Roman" w:cs="Times New Roman"/>
          <w:i/>
          <w:iCs/>
          <w:sz w:val="24"/>
          <w:szCs w:val="24"/>
        </w:rPr>
        <w:t>Policy network</w:t>
      </w:r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hirarkhi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Weberian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sinergis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komando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5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81A51">
        <w:rPr>
          <w:rFonts w:ascii="Times New Roman" w:hAnsi="Times New Roman" w:cs="Times New Roman"/>
          <w:sz w:val="24"/>
          <w:szCs w:val="24"/>
        </w:rPr>
        <w:t>.</w:t>
      </w:r>
    </w:p>
    <w:p w14:paraId="5A849AF8" w14:textId="5B843AB6" w:rsidR="00602355" w:rsidRDefault="00871293" w:rsidP="00C25AF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Tenggara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93">
        <w:rPr>
          <w:rFonts w:ascii="Times New Roman" w:hAnsi="Times New Roman" w:cs="Times New Roman"/>
          <w:i/>
          <w:iCs/>
          <w:sz w:val="24"/>
          <w:szCs w:val="24"/>
        </w:rPr>
        <w:t>Belt and Road Initiative</w:t>
      </w:r>
      <w:r>
        <w:rPr>
          <w:rFonts w:ascii="Times New Roman" w:hAnsi="Times New Roman" w:cs="Times New Roman"/>
          <w:sz w:val="24"/>
          <w:szCs w:val="24"/>
        </w:rPr>
        <w:t xml:space="preserve"> (BRI)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93">
        <w:rPr>
          <w:rFonts w:ascii="Times New Roman" w:hAnsi="Times New Roman" w:cs="Times New Roman"/>
          <w:i/>
          <w:iCs/>
          <w:sz w:val="24"/>
          <w:szCs w:val="24"/>
        </w:rPr>
        <w:t>Asia Infrastructure Investment Bank</w:t>
      </w:r>
      <w:r>
        <w:rPr>
          <w:rFonts w:ascii="Times New Roman" w:hAnsi="Times New Roman" w:cs="Times New Roman"/>
          <w:sz w:val="24"/>
          <w:szCs w:val="24"/>
        </w:rPr>
        <w:t xml:space="preserve"> (AIIB) di mana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Afrika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BUMN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China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CD346D" w14:textId="28A965F3" w:rsidR="00F73322" w:rsidRDefault="00F73322" w:rsidP="00F733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negeri?</w:t>
      </w:r>
    </w:p>
    <w:p w14:paraId="05B8ECA7" w14:textId="11BB825E" w:rsidR="00F73322" w:rsidRDefault="00534CB3" w:rsidP="00F733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8F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="00A32B8F">
        <w:rPr>
          <w:rFonts w:ascii="Times New Roman" w:hAnsi="Times New Roman" w:cs="Times New Roman"/>
          <w:sz w:val="24"/>
          <w:szCs w:val="24"/>
        </w:rPr>
        <w:t xml:space="preserve"> </w:t>
      </w:r>
      <w:r w:rsidR="00A32B8F" w:rsidRPr="00A32B8F">
        <w:rPr>
          <w:rFonts w:ascii="Times New Roman" w:hAnsi="Times New Roman" w:cs="Times New Roman"/>
          <w:i/>
          <w:iCs/>
          <w:sz w:val="24"/>
          <w:szCs w:val="24"/>
        </w:rPr>
        <w:t>hierarchy</w:t>
      </w:r>
      <w:r w:rsidR="00A32B8F">
        <w:rPr>
          <w:rFonts w:ascii="Times New Roman" w:hAnsi="Times New Roman" w:cs="Times New Roman"/>
          <w:sz w:val="24"/>
          <w:szCs w:val="24"/>
        </w:rPr>
        <w:t xml:space="preserve"> dan </w:t>
      </w:r>
      <w:r w:rsidR="00A32B8F" w:rsidRPr="00A32B8F">
        <w:rPr>
          <w:rFonts w:ascii="Times New Roman" w:hAnsi="Times New Roman" w:cs="Times New Roman"/>
          <w:i/>
          <w:iCs/>
          <w:sz w:val="24"/>
          <w:szCs w:val="24"/>
        </w:rPr>
        <w:t>market</w:t>
      </w:r>
      <w:r w:rsidR="00567570">
        <w:rPr>
          <w:rFonts w:ascii="Times New Roman" w:hAnsi="Times New Roman" w:cs="Times New Roman"/>
          <w:sz w:val="24"/>
          <w:szCs w:val="24"/>
        </w:rPr>
        <w:t xml:space="preserve"> (Graham Thompson and Christof </w:t>
      </w:r>
      <w:proofErr w:type="spellStart"/>
      <w:r w:rsidR="00567570">
        <w:rPr>
          <w:rFonts w:ascii="Times New Roman" w:hAnsi="Times New Roman" w:cs="Times New Roman"/>
          <w:sz w:val="24"/>
          <w:szCs w:val="24"/>
        </w:rPr>
        <w:t>Pforr</w:t>
      </w:r>
      <w:proofErr w:type="spellEnd"/>
      <w:r w:rsidR="00567570">
        <w:rPr>
          <w:rFonts w:ascii="Times New Roman" w:hAnsi="Times New Roman" w:cs="Times New Roman"/>
          <w:sz w:val="24"/>
          <w:szCs w:val="24"/>
        </w:rPr>
        <w:t>, 2005, p. 4).</w:t>
      </w:r>
    </w:p>
    <w:p w14:paraId="6F79CF46" w14:textId="46AB736A" w:rsidR="00534CB3" w:rsidRDefault="00D37722" w:rsidP="00F733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77757C" w14:textId="5E4C258A" w:rsidR="00D37722" w:rsidRDefault="00541723" w:rsidP="00F733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hirarkhi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Weberian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C8FF7" w14:textId="0279B8C6" w:rsidR="003F2C2B" w:rsidRDefault="003F2C2B" w:rsidP="00C25AF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A2EFE8" w14:textId="4095020F" w:rsidR="00B91B47" w:rsidRDefault="00710CF8" w:rsidP="00710C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CF8">
        <w:rPr>
          <w:rFonts w:ascii="Times New Roman" w:hAnsi="Times New Roman" w:cs="Times New Roman"/>
          <w:b/>
          <w:bCs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F7CDA8F" w14:textId="001DFBA3" w:rsidR="00710CF8" w:rsidRDefault="00710CF8" w:rsidP="00710C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DFD">
        <w:rPr>
          <w:rFonts w:ascii="Times New Roman" w:hAnsi="Times New Roman" w:cs="Times New Roman"/>
          <w:sz w:val="24"/>
          <w:szCs w:val="24"/>
        </w:rPr>
        <w:t xml:space="preserve">Mahbubani, Kishore and Jeffery </w:t>
      </w:r>
      <w:proofErr w:type="spellStart"/>
      <w:r w:rsidRPr="00646DFD">
        <w:rPr>
          <w:rFonts w:ascii="Times New Roman" w:hAnsi="Times New Roman" w:cs="Times New Roman"/>
          <w:sz w:val="24"/>
          <w:szCs w:val="24"/>
        </w:rPr>
        <w:t>Sng</w:t>
      </w:r>
      <w:proofErr w:type="spellEnd"/>
      <w:r w:rsidRPr="00646DFD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646DFD">
        <w:rPr>
          <w:rFonts w:ascii="Times New Roman" w:hAnsi="Times New Roman" w:cs="Times New Roman"/>
          <w:i/>
          <w:iCs/>
          <w:sz w:val="24"/>
          <w:szCs w:val="24"/>
        </w:rPr>
        <w:t>The ASEAN Miracle: A Catalyst for Peace</w:t>
      </w:r>
      <w:r w:rsidRPr="00646DFD">
        <w:rPr>
          <w:rFonts w:ascii="Times New Roman" w:hAnsi="Times New Roman" w:cs="Times New Roman"/>
          <w:sz w:val="24"/>
          <w:szCs w:val="24"/>
        </w:rPr>
        <w:t>. Singapore: Ridge Books.</w:t>
      </w:r>
    </w:p>
    <w:p w14:paraId="481F61A8" w14:textId="74571BA2" w:rsidR="00710CF8" w:rsidRPr="00710CF8" w:rsidRDefault="00710CF8" w:rsidP="00710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Thompson, Graham and Christof (2005). “Policy Networks and Good Governance – A Discussion”. Working Paper Series, Curtin University of Technology, School of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lastRenderedPageBreak/>
        <w:t>dari:</w:t>
      </w:r>
      <w:hyperlink r:id="rId5" w:history="1">
        <w:r w:rsidRPr="002C1EFB">
          <w:rPr>
            <w:rStyle w:val="Hyperlink"/>
          </w:rPr>
          <w:t>https://espace.curtin.edu.au/bitstream/handle/20.500.11937/41480/19693_downloaded_stream_211.pdf?sequence=2&amp;isAllowed=y</w:t>
        </w:r>
      </w:hyperlink>
    </w:p>
    <w:p w14:paraId="76F240CC" w14:textId="77777777" w:rsidR="00710CF8" w:rsidRDefault="00710CF8" w:rsidP="00710C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</w:rPr>
          <w:t>https://www.thejakartapost.com/seasia/2017/11/25/no-reforms-for-asean-anytime-soon.html</w:t>
        </w:r>
      </w:hyperlink>
      <w:r>
        <w:t xml:space="preserve"> </w:t>
      </w:r>
      <w:proofErr w:type="spellStart"/>
      <w:r>
        <w:t>diakses</w:t>
      </w:r>
      <w:proofErr w:type="spellEnd"/>
      <w:r>
        <w:t xml:space="preserve"> 2 </w:t>
      </w:r>
      <w:proofErr w:type="spellStart"/>
      <w:r>
        <w:t>Agustus</w:t>
      </w:r>
      <w:proofErr w:type="spellEnd"/>
      <w:r>
        <w:t xml:space="preserve"> 2019.</w:t>
      </w:r>
    </w:p>
    <w:p w14:paraId="1AD06780" w14:textId="77777777" w:rsidR="00710CF8" w:rsidRPr="00710CF8" w:rsidRDefault="00710CF8" w:rsidP="00710CF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10CF8" w:rsidRPr="0071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1F70"/>
    <w:multiLevelType w:val="hybridMultilevel"/>
    <w:tmpl w:val="A84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C2F0D"/>
    <w:multiLevelType w:val="hybridMultilevel"/>
    <w:tmpl w:val="6CB6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7729B"/>
    <w:multiLevelType w:val="hybridMultilevel"/>
    <w:tmpl w:val="CBBC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15"/>
    <w:rsid w:val="00051B43"/>
    <w:rsid w:val="00085C10"/>
    <w:rsid w:val="000C5C79"/>
    <w:rsid w:val="0011223B"/>
    <w:rsid w:val="00156F1E"/>
    <w:rsid w:val="00181A51"/>
    <w:rsid w:val="001B6ECF"/>
    <w:rsid w:val="00257B74"/>
    <w:rsid w:val="002F7506"/>
    <w:rsid w:val="0038183A"/>
    <w:rsid w:val="003F2C2B"/>
    <w:rsid w:val="003F74E6"/>
    <w:rsid w:val="00472E76"/>
    <w:rsid w:val="004D2FB2"/>
    <w:rsid w:val="004D4A5F"/>
    <w:rsid w:val="00534CB3"/>
    <w:rsid w:val="00541723"/>
    <w:rsid w:val="005522F8"/>
    <w:rsid w:val="00567570"/>
    <w:rsid w:val="005B3DFD"/>
    <w:rsid w:val="00602355"/>
    <w:rsid w:val="00616A3C"/>
    <w:rsid w:val="0066368A"/>
    <w:rsid w:val="00665624"/>
    <w:rsid w:val="006712AB"/>
    <w:rsid w:val="006C0BE1"/>
    <w:rsid w:val="00710CF8"/>
    <w:rsid w:val="007D4415"/>
    <w:rsid w:val="007F4EF1"/>
    <w:rsid w:val="00871293"/>
    <w:rsid w:val="00874772"/>
    <w:rsid w:val="008B6A42"/>
    <w:rsid w:val="009076B8"/>
    <w:rsid w:val="009765E9"/>
    <w:rsid w:val="009E5B21"/>
    <w:rsid w:val="00A32B8F"/>
    <w:rsid w:val="00A916D1"/>
    <w:rsid w:val="00AA6803"/>
    <w:rsid w:val="00AD73F6"/>
    <w:rsid w:val="00B90C89"/>
    <w:rsid w:val="00B91B47"/>
    <w:rsid w:val="00C25AF8"/>
    <w:rsid w:val="00CB2BA1"/>
    <w:rsid w:val="00D2659C"/>
    <w:rsid w:val="00D3118E"/>
    <w:rsid w:val="00D37722"/>
    <w:rsid w:val="00DB3F6E"/>
    <w:rsid w:val="00E1286C"/>
    <w:rsid w:val="00E7787F"/>
    <w:rsid w:val="00F13C12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C121"/>
  <w15:chartTrackingRefBased/>
  <w15:docId w15:val="{268EA620-7347-4C57-B3F9-77E1A57E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jakartapost.com/seasia/2017/11/25/no-reforms-for-asean-anytime-soon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space.curtin.edu.au/bitstream/handle/20.500.11937/41480/19693_downloaded_stream_211.pdf?sequence=2&amp;isAllowed=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885FCC871946BBEFD780B4445ABB" ma:contentTypeVersion="10" ma:contentTypeDescription="Create a new document." ma:contentTypeScope="" ma:versionID="bd94a357cf52f9a6dcd07849d5d4d472">
  <xsd:schema xmlns:xsd="http://www.w3.org/2001/XMLSchema" xmlns:xs="http://www.w3.org/2001/XMLSchema" xmlns:p="http://schemas.microsoft.com/office/2006/metadata/properties" xmlns:ns2="84db8840-2f1c-4a7a-a0f4-dfcfec4e8356" xmlns:ns3="0b1c901e-7380-4384-9d8c-e746179efd0e" targetNamespace="http://schemas.microsoft.com/office/2006/metadata/properties" ma:root="true" ma:fieldsID="42b9f9105d80c823c097072a12f5c8f6" ns2:_="" ns3:_="">
    <xsd:import namespace="84db8840-2f1c-4a7a-a0f4-dfcfec4e8356"/>
    <xsd:import namespace="0b1c901e-7380-4384-9d8c-e746179e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8840-2f1c-4a7a-a0f4-dfcfec4e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901e-7380-4384-9d8c-e746179e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c901e-7380-4384-9d8c-e746179efd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8B3B2F-D9F0-4745-9D74-B4BC179A719E}"/>
</file>

<file path=customXml/itemProps2.xml><?xml version="1.0" encoding="utf-8"?>
<ds:datastoreItem xmlns:ds="http://schemas.openxmlformats.org/officeDocument/2006/customXml" ds:itemID="{0281D00B-E460-47C3-8813-21AA32666A2E}"/>
</file>

<file path=customXml/itemProps3.xml><?xml version="1.0" encoding="utf-8"?>
<ds:datastoreItem xmlns:ds="http://schemas.openxmlformats.org/officeDocument/2006/customXml" ds:itemID="{EA7450F7-EACA-4396-90FA-06F80B4C4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41</cp:revision>
  <dcterms:created xsi:type="dcterms:W3CDTF">2019-08-03T04:43:00Z</dcterms:created>
  <dcterms:modified xsi:type="dcterms:W3CDTF">2019-08-05T08:20:00Z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0x010100D911885FCC871946BBEFD780B4445ABB</vt:lpwstr>
  </property>
  <property fmtid="{D5CDD505-2E9C-101B-9397-08002B2CF9AE}" pid="3" name="Order">
    <vt:r8>352000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