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F84F2" w14:textId="77777777" w:rsidR="00936028" w:rsidRDefault="00936028" w:rsidP="009360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Jokowi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Retno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Marsudi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membumi</w:t>
      </w:r>
      <w:proofErr w:type="spellEnd"/>
      <w:r>
        <w:rPr>
          <w:rFonts w:ascii="Times New Roman" w:hAnsi="Times New Roman" w:cs="Times New Roman"/>
          <w:sz w:val="24"/>
          <w:szCs w:val="24"/>
        </w:rPr>
        <w:t>” dan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pro-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ungkapan-ungkapan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konstituen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</w:t>
      </w:r>
    </w:p>
    <w:p w14:paraId="4A1C162C" w14:textId="77777777" w:rsidR="00936028" w:rsidRDefault="00936028" w:rsidP="009360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bertahun-tahun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ASEAN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1E">
        <w:rPr>
          <w:rFonts w:ascii="Times New Roman" w:hAnsi="Times New Roman" w:cs="Times New Roman"/>
          <w:i/>
          <w:iCs/>
          <w:sz w:val="24"/>
          <w:szCs w:val="24"/>
        </w:rPr>
        <w:t>the natural custodian</w:t>
      </w:r>
      <w:r>
        <w:rPr>
          <w:rFonts w:ascii="Times New Roman" w:hAnsi="Times New Roman" w:cs="Times New Roman"/>
          <w:sz w:val="24"/>
          <w:szCs w:val="24"/>
        </w:rPr>
        <w:t xml:space="preserve"> (Kishore Mahbubani dan Jeffery </w:t>
      </w:r>
      <w:proofErr w:type="spellStart"/>
      <w:r>
        <w:rPr>
          <w:rFonts w:ascii="Times New Roman" w:hAnsi="Times New Roman" w:cs="Times New Roman"/>
          <w:sz w:val="24"/>
          <w:szCs w:val="24"/>
        </w:rPr>
        <w:t>Sng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2017, p. 184)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ASEAN (</w:t>
      </w:r>
      <w:r w:rsidRPr="00B61BC0">
        <w:rPr>
          <w:rFonts w:ascii="Times New Roman" w:hAnsi="Times New Roman" w:cs="Times New Roman"/>
          <w:i/>
          <w:iCs/>
          <w:sz w:val="24"/>
          <w:szCs w:val="24"/>
        </w:rPr>
        <w:t>intra-regional trade</w:t>
      </w:r>
      <w:r>
        <w:rPr>
          <w:rFonts w:ascii="Times New Roman" w:hAnsi="Times New Roman" w:cs="Times New Roman"/>
          <w:sz w:val="24"/>
          <w:szCs w:val="24"/>
        </w:rPr>
        <w:t xml:space="preserve">),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Singapura, Thailand dan Malaysia. </w:t>
      </w:r>
    </w:p>
    <w:p w14:paraId="328B8328" w14:textId="77777777" w:rsidR="00936028" w:rsidRDefault="00936028" w:rsidP="009360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Kejanggalan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ekspektasi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ASEAN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(</w:t>
      </w:r>
      <w:r w:rsidRPr="00C0211B">
        <w:rPr>
          <w:rFonts w:ascii="Times New Roman" w:hAnsi="Times New Roman" w:cs="Times New Roman"/>
          <w:i/>
          <w:iCs/>
          <w:sz w:val="24"/>
          <w:szCs w:val="24"/>
        </w:rPr>
        <w:t>the cornerstone of foreign policy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regional ASEAN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punya </w:t>
      </w:r>
      <w:proofErr w:type="spellStart"/>
      <w:r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ASEAN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228 </w:t>
      </w:r>
      <w:proofErr w:type="spellStart"/>
      <w:r>
        <w:rPr>
          <w:rFonts w:ascii="Times New Roman" w:hAnsi="Times New Roman" w:cs="Times New Roman"/>
          <w:sz w:val="24"/>
          <w:szCs w:val="24"/>
        </w:rPr>
        <w:t>milyar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220 </w:t>
      </w:r>
      <w:proofErr w:type="spellStart"/>
      <w:r>
        <w:rPr>
          <w:rFonts w:ascii="Times New Roman" w:hAnsi="Times New Roman" w:cs="Times New Roman"/>
          <w:sz w:val="24"/>
          <w:szCs w:val="24"/>
        </w:rPr>
        <w:t>milyar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(</w:t>
      </w:r>
      <w:r w:rsidRPr="00016867">
        <w:rPr>
          <w:rFonts w:ascii="Times New Roman" w:hAnsi="Times New Roman" w:cs="Times New Roman"/>
          <w:i/>
          <w:iCs/>
          <w:sz w:val="24"/>
          <w:szCs w:val="24"/>
        </w:rPr>
        <w:t>The Jakarta Post</w:t>
      </w:r>
      <w:r>
        <w:rPr>
          <w:rFonts w:ascii="Times New Roman" w:hAnsi="Times New Roman" w:cs="Times New Roman"/>
          <w:sz w:val="24"/>
          <w:szCs w:val="24"/>
        </w:rPr>
        <w:t xml:space="preserve">, 25 November 2017).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ASEAN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3361F6" w14:textId="77777777" w:rsidR="00936028" w:rsidRPr="0029349F" w:rsidRDefault="00936028" w:rsidP="009360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49F">
        <w:rPr>
          <w:rFonts w:ascii="Times New Roman" w:hAnsi="Times New Roman" w:cs="Times New Roman"/>
          <w:b/>
          <w:bCs/>
          <w:sz w:val="24"/>
          <w:szCs w:val="24"/>
        </w:rPr>
        <w:t xml:space="preserve">Pola </w:t>
      </w:r>
      <w:proofErr w:type="spellStart"/>
      <w:r w:rsidRPr="0029349F">
        <w:rPr>
          <w:rFonts w:ascii="Times New Roman" w:hAnsi="Times New Roman" w:cs="Times New Roman"/>
          <w:b/>
          <w:bCs/>
          <w:sz w:val="24"/>
          <w:szCs w:val="24"/>
        </w:rPr>
        <w:t>konvensional</w:t>
      </w:r>
      <w:proofErr w:type="spellEnd"/>
    </w:p>
    <w:p w14:paraId="2741D856" w14:textId="77777777" w:rsidR="00936028" w:rsidRDefault="00936028" w:rsidP="009360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Tampaknya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Jokowi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dinegosiasikan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683">
        <w:rPr>
          <w:rFonts w:ascii="Times New Roman" w:hAnsi="Times New Roman" w:cs="Times New Roman"/>
          <w:i/>
          <w:iCs/>
          <w:sz w:val="24"/>
          <w:szCs w:val="24"/>
        </w:rPr>
        <w:t>Comprehensive Economic Partnership</w:t>
      </w:r>
      <w:r>
        <w:rPr>
          <w:rFonts w:ascii="Times New Roman" w:hAnsi="Times New Roman" w:cs="Times New Roman"/>
          <w:sz w:val="24"/>
          <w:szCs w:val="24"/>
        </w:rPr>
        <w:t xml:space="preserve"> (CEPA)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Australia dan Uni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diapresiasi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(</w:t>
      </w:r>
      <w:r w:rsidRPr="00FD3EAB">
        <w:rPr>
          <w:rFonts w:ascii="Times New Roman" w:hAnsi="Times New Roman" w:cs="Times New Roman"/>
          <w:i/>
          <w:iCs/>
          <w:sz w:val="24"/>
          <w:szCs w:val="24"/>
        </w:rPr>
        <w:t>foreign policy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approach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(</w:t>
      </w:r>
      <w:r w:rsidRPr="00FD3EAB">
        <w:rPr>
          <w:rFonts w:ascii="Times New Roman" w:hAnsi="Times New Roman" w:cs="Times New Roman"/>
          <w:i/>
          <w:iCs/>
          <w:sz w:val="24"/>
          <w:szCs w:val="24"/>
        </w:rPr>
        <w:t>managing foreign relations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agak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negeri.</w:t>
      </w:r>
    </w:p>
    <w:p w14:paraId="24151709" w14:textId="77777777" w:rsidR="00936028" w:rsidRDefault="00936028" w:rsidP="009360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hirarkhi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Weberian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831D4">
        <w:rPr>
          <w:rFonts w:ascii="Times New Roman" w:hAnsi="Times New Roman" w:cs="Times New Roman"/>
          <w:i/>
          <w:iCs/>
          <w:sz w:val="24"/>
          <w:szCs w:val="24"/>
        </w:rPr>
        <w:t>policy networks</w:t>
      </w:r>
      <w:r>
        <w:rPr>
          <w:rFonts w:ascii="Times New Roman" w:hAnsi="Times New Roman" w:cs="Times New Roman"/>
          <w:sz w:val="24"/>
          <w:szCs w:val="24"/>
        </w:rPr>
        <w:t xml:space="preserve">) di mana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interdependensi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218C29" w14:textId="77777777" w:rsidR="00936028" w:rsidRDefault="00936028" w:rsidP="00936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keterpaduan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interdependensi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di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 (</w:t>
      </w:r>
      <w:r w:rsidRPr="001B6ECF">
        <w:rPr>
          <w:rFonts w:ascii="Times New Roman" w:hAnsi="Times New Roman" w:cs="Times New Roman"/>
          <w:i/>
          <w:iCs/>
          <w:sz w:val="24"/>
          <w:szCs w:val="24"/>
        </w:rPr>
        <w:t>mutual nullification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9331D">
        <w:rPr>
          <w:rFonts w:ascii="Times New Roman" w:hAnsi="Times New Roman" w:cs="Times New Roman"/>
          <w:i/>
          <w:iCs/>
          <w:sz w:val="24"/>
          <w:szCs w:val="24"/>
        </w:rPr>
        <w:t>policy network approach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hirarkhi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Weberian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pasar. </w:t>
      </w:r>
    </w:p>
    <w:p w14:paraId="1A0ADD35" w14:textId="77777777" w:rsidR="00936028" w:rsidRDefault="00936028" w:rsidP="009360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D50BB4" w14:textId="77777777" w:rsidR="00936028" w:rsidRDefault="00936028" w:rsidP="009360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Kementerian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Rakyat (PUPR),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dan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Kementerian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interdependensi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menggantikan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2EBCE0" w14:textId="77777777" w:rsidR="00936028" w:rsidRDefault="00936028" w:rsidP="009360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Jokowi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pemerintahannya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7B3569E" w14:textId="77777777" w:rsidR="00156F1E" w:rsidRPr="00936028" w:rsidRDefault="00156F1E" w:rsidP="0093602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6F1E" w:rsidRPr="00936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28"/>
    <w:rsid w:val="00156F1E"/>
    <w:rsid w:val="005F741E"/>
    <w:rsid w:val="00616A3C"/>
    <w:rsid w:val="00665624"/>
    <w:rsid w:val="007F4EF1"/>
    <w:rsid w:val="00936028"/>
    <w:rsid w:val="00A916D1"/>
    <w:rsid w:val="00E7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AF3D"/>
  <w15:chartTrackingRefBased/>
  <w15:docId w15:val="{4D793231-01B3-4368-878E-811D37FC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1885FCC871946BBEFD780B4445ABB" ma:contentTypeVersion="10" ma:contentTypeDescription="Create a new document." ma:contentTypeScope="" ma:versionID="bd94a357cf52f9a6dcd07849d5d4d472">
  <xsd:schema xmlns:xsd="http://www.w3.org/2001/XMLSchema" xmlns:xs="http://www.w3.org/2001/XMLSchema" xmlns:p="http://schemas.microsoft.com/office/2006/metadata/properties" xmlns:ns2="84db8840-2f1c-4a7a-a0f4-dfcfec4e8356" xmlns:ns3="0b1c901e-7380-4384-9d8c-e746179efd0e" targetNamespace="http://schemas.microsoft.com/office/2006/metadata/properties" ma:root="true" ma:fieldsID="42b9f9105d80c823c097072a12f5c8f6" ns2:_="" ns3:_="">
    <xsd:import namespace="84db8840-2f1c-4a7a-a0f4-dfcfec4e8356"/>
    <xsd:import namespace="0b1c901e-7380-4384-9d8c-e746179e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b8840-2f1c-4a7a-a0f4-dfcfec4e8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c901e-7380-4384-9d8c-e746179e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1c901e-7380-4384-9d8c-e746179efd0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130BBED-A05E-4E7F-A858-A9A62BA7D3E7}"/>
</file>

<file path=customXml/itemProps2.xml><?xml version="1.0" encoding="utf-8"?>
<ds:datastoreItem xmlns:ds="http://schemas.openxmlformats.org/officeDocument/2006/customXml" ds:itemID="{FDAC795C-92E2-4CCB-AF67-0C48D7B70E47}"/>
</file>

<file path=customXml/itemProps3.xml><?xml version="1.0" encoding="utf-8"?>
<ds:datastoreItem xmlns:ds="http://schemas.openxmlformats.org/officeDocument/2006/customXml" ds:itemID="{A0F7CEBB-BC74-434A-ACC2-7704750B66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Aleksius Jemadu</dc:creator>
  <cp:keywords/>
  <dc:description/>
  <cp:lastModifiedBy>Aleksius Jemadu</cp:lastModifiedBy>
  <cp:revision>1</cp:revision>
  <dcterms:created xsi:type="dcterms:W3CDTF">2019-08-06T02:31:00Z</dcterms:created>
  <dcterms:modified xsi:type="dcterms:W3CDTF">2019-08-06T07:27:00Z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0x010100D911885FCC871946BBEFD780B4445ABB</vt:lpwstr>
  </property>
  <property fmtid="{D5CDD505-2E9C-101B-9397-08002B2CF9AE}" pid="3" name="Order">
    <vt:r8>351900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