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58" w:rsidRDefault="00261EB8" w:rsidP="00261EB8">
      <w:pPr>
        <w:spacing w:after="0" w:line="240" w:lineRule="auto"/>
        <w:jc w:val="center"/>
        <w:rPr>
          <w:rFonts w:ascii="Bookman Old Style" w:hAnsi="Bookman Old Style"/>
          <w:b/>
          <w:sz w:val="24"/>
          <w:szCs w:val="24"/>
        </w:rPr>
      </w:pPr>
      <w:r w:rsidRPr="00261EB8">
        <w:rPr>
          <w:rFonts w:ascii="Bookman Old Style" w:hAnsi="Bookman Old Style"/>
          <w:b/>
          <w:sz w:val="24"/>
          <w:szCs w:val="24"/>
        </w:rPr>
        <w:t>DESKRIPSI MATA KULIAH</w:t>
      </w:r>
    </w:p>
    <w:p w:rsidR="00261EB8" w:rsidRDefault="00261EB8" w:rsidP="00261EB8">
      <w:pPr>
        <w:spacing w:after="0" w:line="240" w:lineRule="auto"/>
        <w:jc w:val="center"/>
        <w:rPr>
          <w:rFonts w:ascii="Bookman Old Style" w:hAnsi="Bookman Old Style"/>
          <w:b/>
          <w:sz w:val="24"/>
          <w:szCs w:val="24"/>
        </w:rPr>
      </w:pPr>
    </w:p>
    <w:p w:rsidR="00261EB8" w:rsidRPr="00281F34" w:rsidRDefault="00261EB8" w:rsidP="00261EB8">
      <w:pPr>
        <w:tabs>
          <w:tab w:val="left" w:pos="2552"/>
        </w:tabs>
        <w:spacing w:after="0" w:line="240" w:lineRule="auto"/>
        <w:jc w:val="both"/>
        <w:rPr>
          <w:rFonts w:ascii="Bookman Old Style" w:hAnsi="Bookman Old Style"/>
          <w:b/>
          <w:sz w:val="24"/>
          <w:szCs w:val="24"/>
        </w:rPr>
      </w:pPr>
      <w:r>
        <w:rPr>
          <w:rFonts w:ascii="Bookman Old Style" w:hAnsi="Bookman Old Style"/>
          <w:sz w:val="24"/>
          <w:szCs w:val="24"/>
        </w:rPr>
        <w:t>Nama Mata Kuliah</w:t>
      </w:r>
      <w:r>
        <w:rPr>
          <w:rFonts w:ascii="Bookman Old Style" w:hAnsi="Bookman Old Style"/>
          <w:sz w:val="24"/>
          <w:szCs w:val="24"/>
        </w:rPr>
        <w:tab/>
        <w:t xml:space="preserve">: </w:t>
      </w:r>
      <w:r w:rsidR="00741CD9" w:rsidRPr="00741CD9">
        <w:rPr>
          <w:rFonts w:ascii="Bookman Old Style" w:hAnsi="Bookman Old Style"/>
          <w:b/>
          <w:sz w:val="24"/>
          <w:szCs w:val="24"/>
        </w:rPr>
        <w:t>HUKUM JAMINAN</w:t>
      </w:r>
    </w:p>
    <w:p w:rsidR="00261EB8" w:rsidRDefault="00261EB8" w:rsidP="00261EB8">
      <w:pPr>
        <w:tabs>
          <w:tab w:val="left" w:pos="2552"/>
        </w:tabs>
        <w:spacing w:after="0" w:line="240" w:lineRule="auto"/>
        <w:jc w:val="both"/>
        <w:rPr>
          <w:rFonts w:ascii="Bookman Old Style" w:hAnsi="Bookman Old Style"/>
          <w:sz w:val="24"/>
          <w:szCs w:val="24"/>
        </w:rPr>
      </w:pPr>
      <w:r>
        <w:rPr>
          <w:rFonts w:ascii="Bookman Old Style" w:hAnsi="Bookman Old Style"/>
          <w:sz w:val="24"/>
          <w:szCs w:val="24"/>
        </w:rPr>
        <w:t>Kode Mata Kuliah</w:t>
      </w:r>
      <w:r>
        <w:rPr>
          <w:rFonts w:ascii="Bookman Old Style" w:hAnsi="Bookman Old Style"/>
          <w:sz w:val="24"/>
          <w:szCs w:val="24"/>
        </w:rPr>
        <w:tab/>
        <w:t xml:space="preserve">: </w:t>
      </w:r>
      <w:r w:rsidR="00741CD9" w:rsidRPr="00741CD9">
        <w:rPr>
          <w:rFonts w:ascii="Bookman Old Style" w:hAnsi="Bookman Old Style"/>
          <w:sz w:val="24"/>
          <w:szCs w:val="24"/>
        </w:rPr>
        <w:t>HKK 302/2 SKS</w:t>
      </w:r>
    </w:p>
    <w:p w:rsidR="00261EB8" w:rsidRDefault="00261EB8" w:rsidP="00261EB8">
      <w:pPr>
        <w:tabs>
          <w:tab w:val="left" w:pos="2552"/>
        </w:tabs>
        <w:spacing w:after="0" w:line="240" w:lineRule="auto"/>
        <w:jc w:val="both"/>
        <w:rPr>
          <w:rFonts w:ascii="Bookman Old Style" w:hAnsi="Bookman Old Style"/>
          <w:sz w:val="24"/>
          <w:szCs w:val="24"/>
        </w:rPr>
      </w:pPr>
      <w:r>
        <w:rPr>
          <w:rFonts w:ascii="Bookman Old Style" w:hAnsi="Bookman Old Style"/>
          <w:sz w:val="24"/>
          <w:szCs w:val="24"/>
        </w:rPr>
        <w:t>Dosen Pengampu</w:t>
      </w:r>
      <w:r>
        <w:rPr>
          <w:rFonts w:ascii="Bookman Old Style" w:hAnsi="Bookman Old Style"/>
          <w:sz w:val="24"/>
          <w:szCs w:val="24"/>
        </w:rPr>
        <w:tab/>
        <w:t>: 1. Budiman Setyo Haryanto, S.H., M.H.</w:t>
      </w:r>
    </w:p>
    <w:p w:rsidR="00261EB8" w:rsidRDefault="00261EB8" w:rsidP="00261EB8">
      <w:pPr>
        <w:tabs>
          <w:tab w:val="left" w:pos="2552"/>
        </w:tabs>
        <w:spacing w:after="0" w:line="240" w:lineRule="auto"/>
        <w:jc w:val="both"/>
        <w:rPr>
          <w:rFonts w:ascii="Bookman Old Style" w:hAnsi="Bookman Old Style"/>
          <w:sz w:val="24"/>
          <w:szCs w:val="24"/>
        </w:rPr>
      </w:pPr>
      <w:r>
        <w:rPr>
          <w:rFonts w:ascii="Bookman Old Style" w:hAnsi="Bookman Old Style"/>
          <w:sz w:val="24"/>
          <w:szCs w:val="24"/>
        </w:rPr>
        <w:tab/>
        <w:t xml:space="preserve">  2. </w:t>
      </w:r>
      <w:r w:rsidR="00741CD9" w:rsidRPr="00741CD9">
        <w:rPr>
          <w:rFonts w:ascii="Bookman Old Style" w:hAnsi="Bookman Old Style"/>
          <w:sz w:val="24"/>
          <w:szCs w:val="24"/>
        </w:rPr>
        <w:t>Unggul Warsiadi, S.H., M.H.</w:t>
      </w:r>
    </w:p>
    <w:p w:rsidR="00261EB8" w:rsidRDefault="00261EB8" w:rsidP="00261EB8">
      <w:pPr>
        <w:tabs>
          <w:tab w:val="left" w:pos="2552"/>
        </w:tabs>
        <w:spacing w:after="0" w:line="240" w:lineRule="auto"/>
        <w:jc w:val="both"/>
        <w:rPr>
          <w:rFonts w:ascii="Bookman Old Style" w:hAnsi="Bookman Old Style"/>
          <w:sz w:val="24"/>
          <w:szCs w:val="24"/>
        </w:rPr>
      </w:pPr>
    </w:p>
    <w:p w:rsidR="00261EB8" w:rsidRPr="00A3056E" w:rsidRDefault="00261EB8" w:rsidP="00261EB8">
      <w:pPr>
        <w:tabs>
          <w:tab w:val="left" w:pos="2552"/>
        </w:tabs>
        <w:spacing w:after="0" w:line="240" w:lineRule="auto"/>
        <w:ind w:left="426" w:hanging="426"/>
        <w:jc w:val="both"/>
        <w:rPr>
          <w:rFonts w:ascii="Bookman Old Style" w:hAnsi="Bookman Old Style"/>
          <w:b/>
          <w:sz w:val="24"/>
          <w:szCs w:val="24"/>
        </w:rPr>
      </w:pPr>
      <w:r w:rsidRPr="00A3056E">
        <w:rPr>
          <w:rFonts w:ascii="Bookman Old Style" w:hAnsi="Bookman Old Style"/>
          <w:b/>
          <w:sz w:val="24"/>
          <w:szCs w:val="24"/>
        </w:rPr>
        <w:t>1.</w:t>
      </w:r>
      <w:r w:rsidRPr="00A3056E">
        <w:rPr>
          <w:rFonts w:ascii="Bookman Old Style" w:hAnsi="Bookman Old Style"/>
          <w:b/>
          <w:sz w:val="24"/>
          <w:szCs w:val="24"/>
        </w:rPr>
        <w:tab/>
        <w:t>Capaian Pembelajaran Lulusan yang dibebankan pada Mata Kuliah</w:t>
      </w:r>
    </w:p>
    <w:p w:rsidR="00261EB8" w:rsidRDefault="00261EB8" w:rsidP="00261EB8">
      <w:pPr>
        <w:tabs>
          <w:tab w:val="left" w:pos="2552"/>
        </w:tabs>
        <w:spacing w:after="0" w:line="240" w:lineRule="auto"/>
        <w:ind w:left="426"/>
        <w:jc w:val="both"/>
        <w:rPr>
          <w:rFonts w:ascii="Bookman Old Style" w:hAnsi="Bookman Old Style"/>
          <w:sz w:val="24"/>
          <w:szCs w:val="24"/>
        </w:rPr>
      </w:pPr>
    </w:p>
    <w:p w:rsidR="00261EB8" w:rsidRDefault="00741CD9" w:rsidP="00261EB8">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Setelah mengikuti perkuliahan Hukum Jaminan diharapkan mahasiswa dapat memahami dan menjelaskan tentang pengertian hukum jaminan, pembedaan hak jaminan dan hak-hak jaminan kebendaan. Selanjutnya mahasiswa dapat menjelaskan mengenai cara lahirnya hak-hak jaminan kebendaan, yaitu : Gadai, Fidusia, Hipotik dan Hak Tanggungan, hak-hak jaminan yang timbul dan cara eksekusinya.</w:t>
      </w:r>
    </w:p>
    <w:p w:rsidR="00261EB8" w:rsidRDefault="00261EB8" w:rsidP="00261EB8">
      <w:pPr>
        <w:tabs>
          <w:tab w:val="left" w:pos="2552"/>
        </w:tabs>
        <w:spacing w:after="0" w:line="240" w:lineRule="auto"/>
        <w:ind w:left="426"/>
        <w:jc w:val="both"/>
        <w:rPr>
          <w:rFonts w:ascii="Bookman Old Style" w:hAnsi="Bookman Old Style"/>
          <w:sz w:val="24"/>
          <w:szCs w:val="24"/>
        </w:rPr>
      </w:pPr>
    </w:p>
    <w:p w:rsidR="00261EB8" w:rsidRPr="00A3056E" w:rsidRDefault="00261EB8" w:rsidP="00261EB8">
      <w:pPr>
        <w:tabs>
          <w:tab w:val="left" w:pos="2552"/>
        </w:tabs>
        <w:spacing w:after="0" w:line="240" w:lineRule="auto"/>
        <w:ind w:left="426" w:hanging="426"/>
        <w:jc w:val="both"/>
        <w:rPr>
          <w:rFonts w:ascii="Bookman Old Style" w:hAnsi="Bookman Old Style"/>
          <w:b/>
          <w:sz w:val="24"/>
          <w:szCs w:val="24"/>
        </w:rPr>
      </w:pPr>
      <w:r w:rsidRPr="00A3056E">
        <w:rPr>
          <w:rFonts w:ascii="Bookman Old Style" w:hAnsi="Bookman Old Style"/>
          <w:b/>
          <w:sz w:val="24"/>
          <w:szCs w:val="24"/>
        </w:rPr>
        <w:t>2.</w:t>
      </w:r>
      <w:r w:rsidRPr="00A3056E">
        <w:rPr>
          <w:rFonts w:ascii="Bookman Old Style" w:hAnsi="Bookman Old Style"/>
          <w:b/>
          <w:sz w:val="24"/>
          <w:szCs w:val="24"/>
        </w:rPr>
        <w:tab/>
        <w:t>Bahan Kajian yang terkait dengan Mata Kuliah</w:t>
      </w:r>
    </w:p>
    <w:p w:rsidR="00261EB8" w:rsidRDefault="00261EB8" w:rsidP="00261EB8">
      <w:pPr>
        <w:tabs>
          <w:tab w:val="left" w:pos="2552"/>
        </w:tabs>
        <w:spacing w:after="0" w:line="240" w:lineRule="auto"/>
        <w:ind w:left="426"/>
        <w:jc w:val="both"/>
        <w:rPr>
          <w:rFonts w:ascii="Bookman Old Style" w:hAnsi="Bookman Old Style"/>
          <w:sz w:val="24"/>
          <w:szCs w:val="24"/>
        </w:rPr>
      </w:pPr>
    </w:p>
    <w:p w:rsidR="00261EB8" w:rsidRDefault="00741CD9" w:rsidP="00261EB8">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Mata kuliah Hukum Jaminan berkaitan erat dengan mata kuliah Hukum Perjanjian dan Hukum Benda, oleh karena itu untuk dapat menguasai materi hukum jaminan, harus sudah mempelajari materi hukum perjanjian dan hukum benda. Perikatan jaminan merupakan perikatan yang bersifat asessoir terhadap perikatan pokok, yang pada umumnya berasal dari perjanjian pinjam-meminjam dan lebih khusus lagi dengan kredit perbankan maupun perjanjian pembiayaan konsumen.</w:t>
      </w:r>
    </w:p>
    <w:p w:rsidR="00261EB8" w:rsidRDefault="00261EB8" w:rsidP="00261EB8">
      <w:pPr>
        <w:tabs>
          <w:tab w:val="left" w:pos="2552"/>
        </w:tabs>
        <w:spacing w:after="0" w:line="240" w:lineRule="auto"/>
        <w:ind w:left="426"/>
        <w:jc w:val="both"/>
        <w:rPr>
          <w:rFonts w:ascii="Bookman Old Style" w:hAnsi="Bookman Old Style"/>
          <w:sz w:val="24"/>
          <w:szCs w:val="24"/>
        </w:rPr>
      </w:pPr>
    </w:p>
    <w:p w:rsidR="00261EB8" w:rsidRPr="00A3056E" w:rsidRDefault="00261EB8" w:rsidP="00261EB8">
      <w:pPr>
        <w:tabs>
          <w:tab w:val="left" w:pos="2552"/>
        </w:tabs>
        <w:spacing w:after="0" w:line="240" w:lineRule="auto"/>
        <w:ind w:left="426" w:hanging="426"/>
        <w:jc w:val="both"/>
        <w:rPr>
          <w:rFonts w:ascii="Bookman Old Style" w:hAnsi="Bookman Old Style"/>
          <w:b/>
          <w:sz w:val="24"/>
          <w:szCs w:val="24"/>
        </w:rPr>
      </w:pPr>
      <w:r w:rsidRPr="00A3056E">
        <w:rPr>
          <w:rFonts w:ascii="Bookman Old Style" w:hAnsi="Bookman Old Style"/>
          <w:b/>
          <w:sz w:val="24"/>
          <w:szCs w:val="24"/>
        </w:rPr>
        <w:t>3.</w:t>
      </w:r>
      <w:r w:rsidRPr="00A3056E">
        <w:rPr>
          <w:rFonts w:ascii="Bookman Old Style" w:hAnsi="Bookman Old Style"/>
          <w:b/>
          <w:sz w:val="24"/>
          <w:szCs w:val="24"/>
        </w:rPr>
        <w:tab/>
        <w:t>Deskripsi Singkat Mata Kuliah</w:t>
      </w:r>
    </w:p>
    <w:p w:rsidR="00261EB8" w:rsidRDefault="00261EB8" w:rsidP="00261EB8">
      <w:pPr>
        <w:tabs>
          <w:tab w:val="left" w:pos="2552"/>
        </w:tabs>
        <w:spacing w:after="0" w:line="240" w:lineRule="auto"/>
        <w:ind w:left="426" w:hanging="426"/>
        <w:jc w:val="both"/>
        <w:rPr>
          <w:rFonts w:ascii="Bookman Old Style" w:hAnsi="Bookman Old Style"/>
          <w:sz w:val="24"/>
          <w:szCs w:val="24"/>
        </w:rPr>
      </w:pP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Hukum jaminan adalah kumpulan peraturan yang mengatur jaminan piutang seorang kreditur terhadap debiturnya. Intinya mengatur hak-hak kreditur dan upaya-upaya yang dapat dilakukan apabila debitur melakukan wanprestasi, yaitu dengan cara melakukan eksekusi objek jaminan. Mata kuliah ini membahas mengenai proses lahirnya hak jaminan kebendaan, seperti : gadai, fidusia, hipotik dan hak tanggungan,juga  membahas hak-hak kreditur pemegang jaminan kebendaan, serta cara dan prosedur eksekusinya.</w:t>
      </w:r>
    </w:p>
    <w:p w:rsidR="00261EB8" w:rsidRDefault="00741CD9" w:rsidP="00741CD9">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Mata kuliah hukum jaminan sangat penting dan dibutuhkan dalam masyarakat, karena menunjang tumbuh kembangnya pembangunan ekonomi dan merupakan salah satu syarat untuk mendapatkan kredit perbankan. Dalam kurikulum fakultas hukum, mata kuliah hukum jaminan merupakan mata kuliah wajib yang harus ditempuh oleh setiap mahasiswa hukum.</w:t>
      </w:r>
    </w:p>
    <w:p w:rsidR="00261EB8" w:rsidRDefault="00261EB8" w:rsidP="00261EB8">
      <w:pPr>
        <w:tabs>
          <w:tab w:val="left" w:pos="2552"/>
        </w:tabs>
        <w:spacing w:after="0" w:line="240" w:lineRule="auto"/>
        <w:ind w:left="426"/>
        <w:jc w:val="both"/>
        <w:rPr>
          <w:rFonts w:ascii="Bookman Old Style" w:hAnsi="Bookman Old Style"/>
          <w:sz w:val="24"/>
          <w:szCs w:val="24"/>
        </w:rPr>
      </w:pPr>
    </w:p>
    <w:p w:rsidR="00261EB8" w:rsidRPr="00A3056E" w:rsidRDefault="00261EB8" w:rsidP="00261EB8">
      <w:pPr>
        <w:tabs>
          <w:tab w:val="left" w:pos="2552"/>
        </w:tabs>
        <w:spacing w:after="0" w:line="240" w:lineRule="auto"/>
        <w:ind w:left="426" w:hanging="426"/>
        <w:jc w:val="both"/>
        <w:rPr>
          <w:rFonts w:ascii="Bookman Old Style" w:hAnsi="Bookman Old Style"/>
          <w:b/>
          <w:sz w:val="24"/>
          <w:szCs w:val="24"/>
        </w:rPr>
      </w:pPr>
      <w:r w:rsidRPr="00A3056E">
        <w:rPr>
          <w:rFonts w:ascii="Bookman Old Style" w:hAnsi="Bookman Old Style"/>
          <w:b/>
          <w:sz w:val="24"/>
          <w:szCs w:val="24"/>
        </w:rPr>
        <w:t>4.</w:t>
      </w:r>
      <w:r w:rsidRPr="00A3056E">
        <w:rPr>
          <w:rFonts w:ascii="Bookman Old Style" w:hAnsi="Bookman Old Style"/>
          <w:b/>
          <w:sz w:val="24"/>
          <w:szCs w:val="24"/>
        </w:rPr>
        <w:tab/>
        <w:t>Capaian Pembelajaran Umum Mata Kuliah</w:t>
      </w:r>
    </w:p>
    <w:p w:rsidR="00261EB8" w:rsidRDefault="00261EB8" w:rsidP="00261EB8">
      <w:pPr>
        <w:tabs>
          <w:tab w:val="left" w:pos="2552"/>
        </w:tabs>
        <w:spacing w:after="0" w:line="240" w:lineRule="auto"/>
        <w:ind w:left="426"/>
        <w:jc w:val="both"/>
        <w:rPr>
          <w:rFonts w:ascii="Bookman Old Style" w:hAnsi="Bookman Old Style"/>
          <w:sz w:val="24"/>
          <w:szCs w:val="24"/>
        </w:rPr>
      </w:pPr>
    </w:p>
    <w:p w:rsidR="00261EB8" w:rsidRDefault="00741CD9" w:rsidP="00261EB8">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 xml:space="preserve">Setelah mengikuti perkuliahan hukum jaminan, diharapkan mahasiswa dapat menerapkan aturan dan teori hukum jaminan dalam kehidupan di masyarakat, meliputi penerapan jaminan atas benda bergerak berupa </w:t>
      </w:r>
      <w:r w:rsidRPr="00741CD9">
        <w:rPr>
          <w:rFonts w:ascii="Bookman Old Style" w:hAnsi="Bookman Old Style"/>
          <w:sz w:val="24"/>
          <w:szCs w:val="24"/>
        </w:rPr>
        <w:lastRenderedPageBreak/>
        <w:t>: gadai, fidusia, serta jaminan atas benda tidak bergerak berupa : hipotik dan hak tanggungan.</w:t>
      </w:r>
    </w:p>
    <w:p w:rsidR="00A3056E" w:rsidRDefault="00A3056E" w:rsidP="00261EB8">
      <w:pPr>
        <w:tabs>
          <w:tab w:val="left" w:pos="2552"/>
        </w:tabs>
        <w:spacing w:after="0" w:line="240" w:lineRule="auto"/>
        <w:ind w:left="426"/>
        <w:jc w:val="both"/>
        <w:rPr>
          <w:rFonts w:ascii="Bookman Old Style" w:hAnsi="Bookman Old Style"/>
          <w:sz w:val="24"/>
          <w:szCs w:val="24"/>
        </w:rPr>
      </w:pPr>
    </w:p>
    <w:p w:rsidR="00A3056E" w:rsidRPr="008E5E54" w:rsidRDefault="00A3056E" w:rsidP="00A3056E">
      <w:pPr>
        <w:tabs>
          <w:tab w:val="left" w:pos="2552"/>
        </w:tabs>
        <w:spacing w:after="0" w:line="240" w:lineRule="auto"/>
        <w:ind w:left="426" w:hanging="426"/>
        <w:jc w:val="both"/>
        <w:rPr>
          <w:rFonts w:ascii="Bookman Old Style" w:hAnsi="Bookman Old Style"/>
          <w:b/>
          <w:sz w:val="24"/>
          <w:szCs w:val="24"/>
        </w:rPr>
      </w:pPr>
      <w:r w:rsidRPr="008E5E54">
        <w:rPr>
          <w:rFonts w:ascii="Bookman Old Style" w:hAnsi="Bookman Old Style"/>
          <w:b/>
          <w:sz w:val="24"/>
          <w:szCs w:val="24"/>
        </w:rPr>
        <w:t>5.</w:t>
      </w:r>
      <w:r w:rsidRPr="008E5E54">
        <w:rPr>
          <w:rFonts w:ascii="Bookman Old Style" w:hAnsi="Bookman Old Style"/>
          <w:b/>
          <w:sz w:val="24"/>
          <w:szCs w:val="24"/>
        </w:rPr>
        <w:tab/>
        <w:t>Literatur:</w:t>
      </w:r>
    </w:p>
    <w:p w:rsidR="00A3056E" w:rsidRDefault="00A3056E" w:rsidP="00A3056E">
      <w:pPr>
        <w:tabs>
          <w:tab w:val="left" w:pos="2552"/>
        </w:tabs>
        <w:spacing w:after="0" w:line="240" w:lineRule="auto"/>
        <w:ind w:left="426" w:hanging="426"/>
        <w:jc w:val="both"/>
        <w:rPr>
          <w:rFonts w:ascii="Bookman Old Style" w:hAnsi="Bookman Old Style"/>
          <w:sz w:val="24"/>
          <w:szCs w:val="24"/>
        </w:rPr>
      </w:pP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 xml:space="preserve">Adrian Sutedi, 2010, </w:t>
      </w:r>
      <w:r w:rsidRPr="00741CD9">
        <w:rPr>
          <w:rFonts w:ascii="Bookman Old Style" w:hAnsi="Bookman Old Style"/>
          <w:i/>
          <w:sz w:val="24"/>
          <w:szCs w:val="24"/>
        </w:rPr>
        <w:t>Hukum Hak Tanggungan</w:t>
      </w:r>
      <w:r w:rsidRPr="00741CD9">
        <w:rPr>
          <w:rFonts w:ascii="Bookman Old Style" w:hAnsi="Bookman Old Style"/>
          <w:sz w:val="24"/>
          <w:szCs w:val="24"/>
        </w:rPr>
        <w:t>, PT. Sinar Grafika, Jakarta.</w:t>
      </w: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 xml:space="preserve">Djuhaendah Hasan, dkk, 1988, </w:t>
      </w:r>
      <w:r w:rsidRPr="00741CD9">
        <w:rPr>
          <w:rFonts w:ascii="Bookman Old Style" w:hAnsi="Bookman Old Style"/>
          <w:i/>
          <w:sz w:val="24"/>
          <w:szCs w:val="24"/>
        </w:rPr>
        <w:t>Hukum Jaminan Indonesia</w:t>
      </w:r>
      <w:r w:rsidRPr="00741CD9">
        <w:rPr>
          <w:rFonts w:ascii="Bookman Old Style" w:hAnsi="Bookman Old Style"/>
          <w:sz w:val="24"/>
          <w:szCs w:val="24"/>
        </w:rPr>
        <w:t>, Elips, Jakarta.</w:t>
      </w: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 xml:space="preserve">J. Satrio, 1987, </w:t>
      </w:r>
      <w:r w:rsidRPr="00741CD9">
        <w:rPr>
          <w:rFonts w:ascii="Bookman Old Style" w:hAnsi="Bookman Old Style"/>
          <w:i/>
          <w:sz w:val="24"/>
          <w:szCs w:val="24"/>
        </w:rPr>
        <w:t>Hukum Jaminan, Hak-hak Jaminan Kebendaan</w:t>
      </w:r>
      <w:r w:rsidRPr="00741CD9">
        <w:rPr>
          <w:rFonts w:ascii="Bookman Old Style" w:hAnsi="Bookman Old Style"/>
          <w:sz w:val="24"/>
          <w:szCs w:val="24"/>
        </w:rPr>
        <w:t>, PT. Citra Aditya Bakti, Bandung.</w:t>
      </w: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 xml:space="preserve">…………, 1997, </w:t>
      </w:r>
      <w:r w:rsidRPr="00741CD9">
        <w:rPr>
          <w:rFonts w:ascii="Bookman Old Style" w:hAnsi="Bookman Old Style"/>
          <w:i/>
          <w:sz w:val="24"/>
          <w:szCs w:val="24"/>
        </w:rPr>
        <w:t>Hukum Jaminan, Hak-hak Jaminan Kebendaan</w:t>
      </w:r>
      <w:r w:rsidRPr="00741CD9">
        <w:rPr>
          <w:rFonts w:ascii="Bookman Old Style" w:hAnsi="Bookman Old Style"/>
          <w:sz w:val="24"/>
          <w:szCs w:val="24"/>
        </w:rPr>
        <w:t>, Hak Tanggungan, Buku I, PT. Citra Aditya Bakti, Bandung.</w:t>
      </w: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 xml:space="preserve">…………, 1997, </w:t>
      </w:r>
      <w:r w:rsidRPr="00741CD9">
        <w:rPr>
          <w:rFonts w:ascii="Bookman Old Style" w:hAnsi="Bookman Old Style"/>
          <w:i/>
          <w:sz w:val="24"/>
          <w:szCs w:val="24"/>
        </w:rPr>
        <w:t>Hukum Jaminan, Hak-hak Jaminan Kebendaan</w:t>
      </w:r>
      <w:r w:rsidRPr="00741CD9">
        <w:rPr>
          <w:rFonts w:ascii="Bookman Old Style" w:hAnsi="Bookman Old Style"/>
          <w:sz w:val="24"/>
          <w:szCs w:val="24"/>
        </w:rPr>
        <w:t xml:space="preserve">, </w:t>
      </w:r>
      <w:r w:rsidRPr="00741CD9">
        <w:rPr>
          <w:rFonts w:ascii="Bookman Old Style" w:hAnsi="Bookman Old Style"/>
          <w:i/>
          <w:sz w:val="24"/>
          <w:szCs w:val="24"/>
        </w:rPr>
        <w:t>Hak Tanggungan Buku II</w:t>
      </w:r>
      <w:r w:rsidRPr="00741CD9">
        <w:rPr>
          <w:rFonts w:ascii="Bookman Old Style" w:hAnsi="Bookman Old Style"/>
          <w:sz w:val="24"/>
          <w:szCs w:val="24"/>
        </w:rPr>
        <w:t>, PT. Citra Aditya Bakti, Bandung.</w:t>
      </w: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 xml:space="preserve">………….J. Satrio, 1997, </w:t>
      </w:r>
      <w:r w:rsidRPr="00741CD9">
        <w:rPr>
          <w:rFonts w:ascii="Bookman Old Style" w:hAnsi="Bookman Old Style"/>
          <w:i/>
          <w:sz w:val="24"/>
          <w:szCs w:val="24"/>
        </w:rPr>
        <w:t>Hukum Jaminan, Hak-hak Jaminan Kebendaan, Fidusia</w:t>
      </w:r>
      <w:r w:rsidRPr="00741CD9">
        <w:rPr>
          <w:rFonts w:ascii="Bookman Old Style" w:hAnsi="Bookman Old Style"/>
          <w:sz w:val="24"/>
          <w:szCs w:val="24"/>
        </w:rPr>
        <w:t>,  PT. Citra Aditya Bakti, Bandung.</w:t>
      </w: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 xml:space="preserve">Mariam Darus Badrulzaman, 1991, </w:t>
      </w:r>
      <w:r w:rsidRPr="00741CD9">
        <w:rPr>
          <w:rFonts w:ascii="Bookman Old Style" w:hAnsi="Bookman Old Style"/>
          <w:i/>
          <w:sz w:val="24"/>
          <w:szCs w:val="24"/>
        </w:rPr>
        <w:t>Bab-Bab Tentang Hypotheek</w:t>
      </w:r>
      <w:r w:rsidRPr="00741CD9">
        <w:rPr>
          <w:rFonts w:ascii="Bookman Old Style" w:hAnsi="Bookman Old Style"/>
          <w:sz w:val="24"/>
          <w:szCs w:val="24"/>
        </w:rPr>
        <w:t>, PT. Citra Aditya Bakti, Bandung.</w:t>
      </w: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 xml:space="preserve">…………….., 1991, </w:t>
      </w:r>
      <w:r w:rsidRPr="00741CD9">
        <w:rPr>
          <w:rFonts w:ascii="Bookman Old Style" w:hAnsi="Bookman Old Style"/>
          <w:i/>
          <w:sz w:val="24"/>
          <w:szCs w:val="24"/>
        </w:rPr>
        <w:t>Bab-Bab Tentang Credietverband, Gadai &amp; Fiducia</w:t>
      </w:r>
      <w:r w:rsidRPr="00741CD9">
        <w:rPr>
          <w:rFonts w:ascii="Bookman Old Style" w:hAnsi="Bookman Old Style"/>
          <w:sz w:val="24"/>
          <w:szCs w:val="24"/>
        </w:rPr>
        <w:t>, PT. Citra Aditya Bakti, Bandung.</w:t>
      </w: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 xml:space="preserve">Marti Roestamy, 2009, </w:t>
      </w:r>
      <w:r w:rsidRPr="00741CD9">
        <w:rPr>
          <w:rFonts w:ascii="Bookman Old Style" w:hAnsi="Bookman Old Style"/>
          <w:i/>
          <w:sz w:val="24"/>
          <w:szCs w:val="24"/>
        </w:rPr>
        <w:t>Hukum Jaminan Fidusia, Perlindungan Hukum Kreditor Pemegang Fidusia Atas Benda Tidak Terdaftar</w:t>
      </w:r>
      <w:r w:rsidRPr="00741CD9">
        <w:rPr>
          <w:rFonts w:ascii="Bookman Old Style" w:hAnsi="Bookman Old Style"/>
          <w:sz w:val="24"/>
          <w:szCs w:val="24"/>
        </w:rPr>
        <w:t>, PT. Percetakan Penebar Swadaya, Jakarta.</w:t>
      </w: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 xml:space="preserve">Munir Fuadi, 2013, </w:t>
      </w:r>
      <w:r w:rsidRPr="00741CD9">
        <w:rPr>
          <w:rFonts w:ascii="Bookman Old Style" w:hAnsi="Bookman Old Style"/>
          <w:i/>
          <w:sz w:val="24"/>
          <w:szCs w:val="24"/>
        </w:rPr>
        <w:t>Hukum Jaminan Utang</w:t>
      </w:r>
      <w:r w:rsidRPr="00741CD9">
        <w:rPr>
          <w:rFonts w:ascii="Bookman Old Style" w:hAnsi="Bookman Old Style"/>
          <w:sz w:val="24"/>
          <w:szCs w:val="24"/>
        </w:rPr>
        <w:t>, Erlangga, Jakarta.</w:t>
      </w: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 xml:space="preserve">Oey Hoey Tiong, 1983, </w:t>
      </w:r>
      <w:r w:rsidRPr="00741CD9">
        <w:rPr>
          <w:rFonts w:ascii="Bookman Old Style" w:hAnsi="Bookman Old Style"/>
          <w:i/>
          <w:sz w:val="24"/>
          <w:szCs w:val="24"/>
        </w:rPr>
        <w:t>Fidusia Sebagai Jaminan, Unsur-unsur Perikatan</w:t>
      </w:r>
      <w:r w:rsidRPr="00741CD9">
        <w:rPr>
          <w:rFonts w:ascii="Bookman Old Style" w:hAnsi="Bookman Old Style"/>
          <w:sz w:val="24"/>
          <w:szCs w:val="24"/>
        </w:rPr>
        <w:t>, Ghalia Indonesia, Jakarta.</w:t>
      </w:r>
    </w:p>
    <w:p w:rsidR="00741CD9" w:rsidRPr="00741CD9" w:rsidRDefault="00741CD9" w:rsidP="00741CD9">
      <w:pPr>
        <w:tabs>
          <w:tab w:val="left" w:pos="2552"/>
        </w:tabs>
        <w:spacing w:after="0" w:line="240" w:lineRule="auto"/>
        <w:ind w:left="426"/>
        <w:jc w:val="both"/>
        <w:rPr>
          <w:rFonts w:ascii="Bookman Old Style" w:hAnsi="Bookman Old Style"/>
          <w:sz w:val="24"/>
          <w:szCs w:val="24"/>
        </w:rPr>
      </w:pPr>
    </w:p>
    <w:p w:rsidR="00261EB8" w:rsidRDefault="00741CD9" w:rsidP="00741CD9">
      <w:pPr>
        <w:tabs>
          <w:tab w:val="left" w:pos="2552"/>
        </w:tabs>
        <w:spacing w:after="0" w:line="240" w:lineRule="auto"/>
        <w:ind w:left="426"/>
        <w:jc w:val="both"/>
        <w:rPr>
          <w:rFonts w:ascii="Bookman Old Style" w:hAnsi="Bookman Old Style"/>
          <w:sz w:val="24"/>
          <w:szCs w:val="24"/>
        </w:rPr>
      </w:pPr>
      <w:r w:rsidRPr="00741CD9">
        <w:rPr>
          <w:rFonts w:ascii="Bookman Old Style" w:hAnsi="Bookman Old Style"/>
          <w:sz w:val="24"/>
          <w:szCs w:val="24"/>
        </w:rPr>
        <w:t xml:space="preserve">Rahadi usman, 2008, </w:t>
      </w:r>
      <w:r w:rsidRPr="00741CD9">
        <w:rPr>
          <w:rFonts w:ascii="Bookman Old Style" w:hAnsi="Bookman Old Style"/>
          <w:i/>
          <w:sz w:val="24"/>
          <w:szCs w:val="24"/>
        </w:rPr>
        <w:t>Hukum Jaminan Keperdataan</w:t>
      </w:r>
      <w:r w:rsidRPr="00741CD9">
        <w:rPr>
          <w:rFonts w:ascii="Bookman Old Style" w:hAnsi="Bookman Old Style"/>
          <w:sz w:val="24"/>
          <w:szCs w:val="24"/>
        </w:rPr>
        <w:t>, Sinar Grafika, Jakarta.</w:t>
      </w:r>
    </w:p>
    <w:p w:rsidR="00741CD9" w:rsidRDefault="00741CD9" w:rsidP="00B11B7B">
      <w:pPr>
        <w:spacing w:after="0" w:line="240" w:lineRule="auto"/>
        <w:ind w:left="426" w:hanging="426"/>
        <w:jc w:val="both"/>
        <w:rPr>
          <w:rFonts w:ascii="Bookman Old Style" w:hAnsi="Bookman Old Style"/>
          <w:b/>
          <w:sz w:val="24"/>
          <w:szCs w:val="24"/>
        </w:rPr>
      </w:pPr>
    </w:p>
    <w:p w:rsidR="00C06443" w:rsidRPr="00C06443" w:rsidRDefault="00C06443" w:rsidP="009764A8">
      <w:pPr>
        <w:spacing w:after="0" w:line="240" w:lineRule="auto"/>
        <w:ind w:left="851" w:hanging="425"/>
        <w:jc w:val="center"/>
        <w:rPr>
          <w:rFonts w:ascii="Bookman Old Style" w:hAnsi="Bookman Old Style"/>
          <w:b/>
          <w:sz w:val="24"/>
          <w:szCs w:val="24"/>
        </w:rPr>
      </w:pPr>
      <w:bookmarkStart w:id="0" w:name="_GoBack"/>
      <w:bookmarkEnd w:id="0"/>
    </w:p>
    <w:p w:rsidR="00B75589" w:rsidRDefault="00B75589" w:rsidP="00366E4F">
      <w:pPr>
        <w:tabs>
          <w:tab w:val="left" w:pos="2552"/>
        </w:tabs>
        <w:spacing w:after="0" w:line="240" w:lineRule="auto"/>
        <w:ind w:left="426"/>
        <w:jc w:val="center"/>
        <w:rPr>
          <w:rFonts w:ascii="Bookman Old Style" w:hAnsi="Bookman Old Style"/>
          <w:sz w:val="24"/>
          <w:szCs w:val="24"/>
        </w:rPr>
      </w:pPr>
    </w:p>
    <w:sectPr w:rsidR="00B75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CE2"/>
    <w:multiLevelType w:val="hybridMultilevel"/>
    <w:tmpl w:val="D7FC9CAA"/>
    <w:lvl w:ilvl="0" w:tplc="DEEA450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40F5EE4"/>
    <w:multiLevelType w:val="hybridMultilevel"/>
    <w:tmpl w:val="8A46101A"/>
    <w:lvl w:ilvl="0" w:tplc="0EDEB05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46E66B8"/>
    <w:multiLevelType w:val="hybridMultilevel"/>
    <w:tmpl w:val="0FD25BEE"/>
    <w:lvl w:ilvl="0" w:tplc="05341C4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1F4A1E78"/>
    <w:multiLevelType w:val="hybridMultilevel"/>
    <w:tmpl w:val="162034C6"/>
    <w:lvl w:ilvl="0" w:tplc="CA00F19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2C726B8"/>
    <w:multiLevelType w:val="hybridMultilevel"/>
    <w:tmpl w:val="9BC2D518"/>
    <w:lvl w:ilvl="0" w:tplc="3392C11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392459F7"/>
    <w:multiLevelType w:val="hybridMultilevel"/>
    <w:tmpl w:val="D09EDC16"/>
    <w:lvl w:ilvl="0" w:tplc="B81484CA">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6">
    <w:nsid w:val="3AF93133"/>
    <w:multiLevelType w:val="hybridMultilevel"/>
    <w:tmpl w:val="5094C912"/>
    <w:lvl w:ilvl="0" w:tplc="58E84A9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F3217B6"/>
    <w:multiLevelType w:val="hybridMultilevel"/>
    <w:tmpl w:val="618A80AC"/>
    <w:lvl w:ilvl="0" w:tplc="6EF419F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5E082051"/>
    <w:multiLevelType w:val="hybridMultilevel"/>
    <w:tmpl w:val="F2EE2294"/>
    <w:lvl w:ilvl="0" w:tplc="80ACE50E">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6AA348D1"/>
    <w:multiLevelType w:val="hybridMultilevel"/>
    <w:tmpl w:val="66A8D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9"/>
  </w:num>
  <w:num w:numId="7">
    <w:abstractNumId w:val="0"/>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B8"/>
    <w:rsid w:val="000031C8"/>
    <w:rsid w:val="000A4DA3"/>
    <w:rsid w:val="000D484A"/>
    <w:rsid w:val="000E4AED"/>
    <w:rsid w:val="001478B1"/>
    <w:rsid w:val="001B33AD"/>
    <w:rsid w:val="001D04C8"/>
    <w:rsid w:val="001E55CC"/>
    <w:rsid w:val="00214BDD"/>
    <w:rsid w:val="00261EB8"/>
    <w:rsid w:val="00281F34"/>
    <w:rsid w:val="002B6A4F"/>
    <w:rsid w:val="002E6416"/>
    <w:rsid w:val="002F4C98"/>
    <w:rsid w:val="00366E4F"/>
    <w:rsid w:val="00383FF5"/>
    <w:rsid w:val="003C28E6"/>
    <w:rsid w:val="003E2D25"/>
    <w:rsid w:val="003F18E0"/>
    <w:rsid w:val="00421920"/>
    <w:rsid w:val="004257F1"/>
    <w:rsid w:val="00444C1C"/>
    <w:rsid w:val="00463558"/>
    <w:rsid w:val="005079BC"/>
    <w:rsid w:val="00541BAE"/>
    <w:rsid w:val="00543C40"/>
    <w:rsid w:val="005510A3"/>
    <w:rsid w:val="00646A01"/>
    <w:rsid w:val="006749D1"/>
    <w:rsid w:val="007229F1"/>
    <w:rsid w:val="00741CD9"/>
    <w:rsid w:val="00792C89"/>
    <w:rsid w:val="007A3AD4"/>
    <w:rsid w:val="007C55BB"/>
    <w:rsid w:val="008177D8"/>
    <w:rsid w:val="00856015"/>
    <w:rsid w:val="008C7A98"/>
    <w:rsid w:val="008E5E54"/>
    <w:rsid w:val="00901EF8"/>
    <w:rsid w:val="00972033"/>
    <w:rsid w:val="009764A8"/>
    <w:rsid w:val="009A33D9"/>
    <w:rsid w:val="00A15E6D"/>
    <w:rsid w:val="00A3056E"/>
    <w:rsid w:val="00A370F9"/>
    <w:rsid w:val="00B11B7B"/>
    <w:rsid w:val="00B4410C"/>
    <w:rsid w:val="00B56C0F"/>
    <w:rsid w:val="00B75589"/>
    <w:rsid w:val="00BA4A2F"/>
    <w:rsid w:val="00BC6C1A"/>
    <w:rsid w:val="00BF62CE"/>
    <w:rsid w:val="00C021D3"/>
    <w:rsid w:val="00C06443"/>
    <w:rsid w:val="00C323B4"/>
    <w:rsid w:val="00D07D05"/>
    <w:rsid w:val="00D1404D"/>
    <w:rsid w:val="00D61851"/>
    <w:rsid w:val="00D670EB"/>
    <w:rsid w:val="00DD0B6F"/>
    <w:rsid w:val="00E220C4"/>
    <w:rsid w:val="00F150A5"/>
    <w:rsid w:val="00F47A8B"/>
    <w:rsid w:val="00F54A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16473-78EF-43CC-8A01-890BD718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2021-03-01T11:00:00Z</dcterms:created>
  <dcterms:modified xsi:type="dcterms:W3CDTF">2021-03-01T11:01:00Z</dcterms:modified>
</cp:coreProperties>
</file>